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AEFD" w14:textId="77777777" w:rsidR="00693849" w:rsidRDefault="00693849" w:rsidP="00542651">
      <w:pPr>
        <w:pStyle w:val="Heading4"/>
        <w:spacing w:before="240" w:line="240" w:lineRule="auto"/>
        <w:jc w:val="center"/>
        <w:rPr>
          <w:sz w:val="28"/>
        </w:rPr>
      </w:pPr>
    </w:p>
    <w:p w14:paraId="555E0F78" w14:textId="77777777" w:rsidR="00693849" w:rsidRDefault="00693849" w:rsidP="00542651">
      <w:pPr>
        <w:pStyle w:val="Heading4"/>
        <w:spacing w:before="240" w:line="240" w:lineRule="auto"/>
        <w:jc w:val="center"/>
        <w:rPr>
          <w:sz w:val="28"/>
        </w:rPr>
      </w:pPr>
    </w:p>
    <w:p w14:paraId="7B969C61" w14:textId="3ABBE572" w:rsidR="00134955" w:rsidRPr="00542651" w:rsidRDefault="00134955" w:rsidP="00542651">
      <w:pPr>
        <w:pStyle w:val="Heading4"/>
        <w:spacing w:before="240" w:line="240" w:lineRule="auto"/>
        <w:jc w:val="center"/>
        <w:rPr>
          <w:sz w:val="28"/>
          <w:szCs w:val="28"/>
        </w:rPr>
      </w:pPr>
      <w:r>
        <w:rPr>
          <w:sz w:val="28"/>
        </w:rPr>
        <w:t>Apoyo a la participación segura y significativa de niños y niñas en el BIP</w:t>
      </w:r>
    </w:p>
    <w:p w14:paraId="3AEA206B" w14:textId="77777777" w:rsidR="00545EB9" w:rsidRDefault="00545EB9" w:rsidP="00542651">
      <w:pPr>
        <w:spacing w:line="240" w:lineRule="auto"/>
        <w:jc w:val="both"/>
      </w:pPr>
    </w:p>
    <w:p w14:paraId="5BFA2062" w14:textId="5E864A3E" w:rsidR="00134955" w:rsidRDefault="00134955" w:rsidP="00542651">
      <w:pPr>
        <w:spacing w:before="80" w:after="80" w:line="240" w:lineRule="auto"/>
        <w:jc w:val="both"/>
      </w:pPr>
      <w:r>
        <w:t xml:space="preserve">Las siguientes acciones ayudarán a </w:t>
      </w:r>
      <w:r w:rsidR="00EC2538">
        <w:t>las personas trabajadoras</w:t>
      </w:r>
      <w:r>
        <w:t xml:space="preserve"> de caso a apoyar la participación segura y significativa de niños y niñas en el BIP:</w:t>
      </w:r>
    </w:p>
    <w:p w14:paraId="71E5BB02" w14:textId="77777777" w:rsidR="00542651" w:rsidRDefault="00542651" w:rsidP="00542651">
      <w:pPr>
        <w:spacing w:before="80" w:after="80" w:line="240" w:lineRule="auto"/>
        <w:jc w:val="both"/>
        <w:rPr>
          <w:b/>
        </w:rPr>
      </w:pPr>
    </w:p>
    <w:p w14:paraId="25B94637" w14:textId="0D4A2E7A" w:rsidR="00134955" w:rsidRDefault="00134955" w:rsidP="00542651">
      <w:pPr>
        <w:spacing w:before="80" w:after="80" w:line="240" w:lineRule="auto"/>
        <w:jc w:val="both"/>
      </w:pPr>
      <w:r>
        <w:rPr>
          <w:b/>
        </w:rPr>
        <w:t>Proveer información:</w:t>
      </w:r>
      <w:r>
        <w:t xml:space="preserve"> el BIP no debe ser un ejercicio extractivo, sino más bien un esfuerzo cooperativo.</w:t>
      </w:r>
    </w:p>
    <w:p w14:paraId="4FC77410" w14:textId="77777777" w:rsidR="00134955" w:rsidRDefault="00134955" w:rsidP="00542651">
      <w:pPr>
        <w:numPr>
          <w:ilvl w:val="0"/>
          <w:numId w:val="11"/>
        </w:numPr>
        <w:spacing w:before="80" w:after="80" w:line="240" w:lineRule="auto"/>
        <w:ind w:left="357" w:hanging="357"/>
        <w:jc w:val="both"/>
      </w:pPr>
      <w:r>
        <w:t>Los niños y niñas siempre deben estar informados sobre el propósito, los plazos y los procedimientos de entrevistas y las acciones relacionadas con el BIP. También se debe invitar, alentar y apoyar a los niños y niñas a que expresen sus opiniones y hagan preguntas.</w:t>
      </w:r>
    </w:p>
    <w:p w14:paraId="31BC599D" w14:textId="0841CC56" w:rsidR="00134955" w:rsidRDefault="00134955" w:rsidP="00542651">
      <w:pPr>
        <w:numPr>
          <w:ilvl w:val="0"/>
          <w:numId w:val="11"/>
        </w:numPr>
        <w:spacing w:before="80" w:after="80" w:line="240" w:lineRule="auto"/>
        <w:ind w:left="357" w:hanging="357"/>
      </w:pPr>
      <w:r>
        <w:t xml:space="preserve">La información proporcionada a los niños </w:t>
      </w:r>
      <w:r w:rsidR="00052581">
        <w:t xml:space="preserve">y niñas </w:t>
      </w:r>
      <w:r>
        <w:t>debe presentarse en un formato accesible y apropiado para su edad.</w:t>
      </w:r>
      <w:r>
        <w:rPr>
          <w:rStyle w:val="FootnoteReference"/>
        </w:rPr>
        <w:footnoteReference w:id="1"/>
      </w:r>
      <w:r>
        <w:t xml:space="preserve"> Los niños y niñas pueden tener diversas necesidades y preferencias de comunicación, dependiendo de su edad, discapacidad y otros factores. Consulte al niño o niña y a las personas cuidadoras (si corresponde) para comprender el medio de comunicación preferido.</w:t>
      </w:r>
    </w:p>
    <w:p w14:paraId="21C6A0AC" w14:textId="2BC49AD9" w:rsidR="00134955" w:rsidRDefault="00134955" w:rsidP="00542651">
      <w:pPr>
        <w:numPr>
          <w:ilvl w:val="0"/>
          <w:numId w:val="11"/>
        </w:numPr>
        <w:spacing w:before="80" w:after="80" w:line="240" w:lineRule="auto"/>
        <w:ind w:left="357" w:hanging="357"/>
      </w:pPr>
      <w:r>
        <w:t>Cuando se comunique con niños y niñas con discapacidades (en particular discapacidades visuales, auditivas o intelectuales), identifique la forma de comunicación más adecuada. Estos niños</w:t>
      </w:r>
      <w:r w:rsidR="00052581">
        <w:t xml:space="preserve"> y niñas</w:t>
      </w:r>
      <w:r>
        <w:t xml:space="preserve"> pueden necesitar apoyos adicionales, como interpretación del lenguaje de signos, tableros de comunicación o la presencia de una persona de apoyo, cuando resulte apropiado</w:t>
      </w:r>
      <w:r>
        <w:rPr>
          <w:rStyle w:val="FootnoteReference"/>
        </w:rPr>
        <w:footnoteReference w:id="2"/>
      </w:r>
      <w:r>
        <w:t>.</w:t>
      </w:r>
    </w:p>
    <w:p w14:paraId="5C0EA8A5" w14:textId="59B95488" w:rsidR="00134955" w:rsidRDefault="00134955" w:rsidP="00542651">
      <w:pPr>
        <w:numPr>
          <w:ilvl w:val="0"/>
          <w:numId w:val="11"/>
        </w:numPr>
        <w:spacing w:before="80" w:after="80" w:line="240" w:lineRule="auto"/>
        <w:ind w:left="357" w:hanging="357"/>
      </w:pPr>
      <w:r>
        <w:t xml:space="preserve">Comuníquese con claridad y de manera adecuada a los niños y niñas, evitando términos y frases técnicas. Compruebe con regularidad que el niño o niña haya entendido lo que se dijo. De manera similar, es importante que </w:t>
      </w:r>
      <w:r w:rsidR="00052581">
        <w:t>la persona trabajadora</w:t>
      </w:r>
      <w:r>
        <w:t xml:space="preserve"> de casos compruebe que ha entendido lo que el niño o niña dijo.</w:t>
      </w:r>
    </w:p>
    <w:p w14:paraId="7679A2AB" w14:textId="77777777" w:rsidR="00542651" w:rsidRDefault="00542651" w:rsidP="00542651">
      <w:pPr>
        <w:spacing w:before="80" w:after="80" w:line="240" w:lineRule="auto"/>
        <w:jc w:val="both"/>
        <w:rPr>
          <w:b/>
        </w:rPr>
      </w:pPr>
    </w:p>
    <w:p w14:paraId="3968AAB1" w14:textId="58B64B6F" w:rsidR="00134955" w:rsidRDefault="00134955" w:rsidP="00542651">
      <w:pPr>
        <w:spacing w:before="80" w:after="80" w:line="240" w:lineRule="auto"/>
        <w:jc w:val="both"/>
      </w:pPr>
      <w:r>
        <w:rPr>
          <w:b/>
        </w:rPr>
        <w:t>Tenga en cuenta:</w:t>
      </w:r>
      <w:r>
        <w:t xml:space="preserve"> el BIP es un procedimiento para niños y niñas individuales y </w:t>
      </w:r>
      <w:r w:rsidR="00052581">
        <w:t>la persona trabajadora</w:t>
      </w:r>
      <w:r>
        <w:t xml:space="preserve"> de casos debe estar atent</w:t>
      </w:r>
      <w:r w:rsidR="00052581">
        <w:t>a</w:t>
      </w:r>
      <w:r>
        <w:t xml:space="preserve"> a cómo la edad, el género, la capacidad o los factores de diversidad de un niño o niña pueden influir en su participación.</w:t>
      </w:r>
    </w:p>
    <w:p w14:paraId="7F691F97" w14:textId="085A78CB" w:rsidR="00134955" w:rsidRDefault="00134955" w:rsidP="00542651">
      <w:pPr>
        <w:numPr>
          <w:ilvl w:val="0"/>
          <w:numId w:val="10"/>
        </w:numPr>
        <w:spacing w:before="80" w:after="80" w:line="240" w:lineRule="auto"/>
        <w:ind w:left="357" w:hanging="357"/>
      </w:pPr>
      <w:r>
        <w:t>Es probable que las normas sociales (por ejemplo, los roles de género y la identidad de género) y las percepciones sobre las niñas y niños con discapacidades influyan en la forma en que ellos se expresan, por ejemplo, al hablar de cuestiones y experiencias dolorosas, delicadas o que consider</w:t>
      </w:r>
      <w:r w:rsidR="00052581">
        <w:t>e</w:t>
      </w:r>
      <w:r>
        <w:t>n vergonzosas.</w:t>
      </w:r>
    </w:p>
    <w:p w14:paraId="7EEDD525" w14:textId="427E116E" w:rsidR="00134955" w:rsidRDefault="00134955" w:rsidP="00542651">
      <w:pPr>
        <w:numPr>
          <w:ilvl w:val="0"/>
          <w:numId w:val="10"/>
        </w:numPr>
        <w:spacing w:before="80" w:after="80" w:line="240" w:lineRule="auto"/>
        <w:ind w:left="357" w:hanging="357"/>
      </w:pPr>
      <w:r>
        <w:t xml:space="preserve">Verifique que el género </w:t>
      </w:r>
      <w:r w:rsidR="00052581">
        <w:t>de la persona trabajadora</w:t>
      </w:r>
      <w:r>
        <w:t xml:space="preserve"> de casos y de la </w:t>
      </w:r>
      <w:r w:rsidR="00052581">
        <w:t xml:space="preserve">persona </w:t>
      </w:r>
      <w:r>
        <w:t>intérprete sea el apropiado y que el niño o niña, en la medida de lo posible, pueda elegir.</w:t>
      </w:r>
    </w:p>
    <w:p w14:paraId="64716E85" w14:textId="77777777" w:rsidR="00542651" w:rsidRDefault="00542651" w:rsidP="00542651">
      <w:pPr>
        <w:spacing w:before="80" w:after="80" w:line="240" w:lineRule="auto"/>
        <w:jc w:val="both"/>
        <w:rPr>
          <w:b/>
        </w:rPr>
      </w:pPr>
    </w:p>
    <w:p w14:paraId="0516DEDC" w14:textId="33627D66" w:rsidR="00134955" w:rsidRDefault="00134955" w:rsidP="00542651">
      <w:pPr>
        <w:spacing w:before="80" w:after="80" w:line="240" w:lineRule="auto"/>
        <w:jc w:val="both"/>
      </w:pPr>
      <w:r>
        <w:rPr>
          <w:b/>
        </w:rPr>
        <w:t xml:space="preserve">Promueva el empoderamiento: </w:t>
      </w:r>
      <w:r>
        <w:t>Las niñas y los niños deben sentirse participantes activos en el BIP, con derecho a expresar sus opiniones, y con sus propias responsabilidades además de derechos dentro del proceso.</w:t>
      </w:r>
    </w:p>
    <w:p w14:paraId="59705F7C" w14:textId="463EC10A" w:rsidR="00134955" w:rsidRDefault="00134955" w:rsidP="00542651">
      <w:pPr>
        <w:numPr>
          <w:ilvl w:val="0"/>
          <w:numId w:val="8"/>
        </w:numPr>
        <w:spacing w:before="80" w:after="80" w:line="240" w:lineRule="auto"/>
        <w:ind w:left="357" w:hanging="357"/>
      </w:pPr>
      <w:r>
        <w:t>Explique los derechos de los niños y niñas de una manera que puedan comprender, incluida su responsabilidad de decir la verdad, su derecho a retirar el consentimiento/asentimiento, su derecho a acceder a la información que les concierne y su derecho a participar en el proceso.</w:t>
      </w:r>
    </w:p>
    <w:p w14:paraId="470BEF6A" w14:textId="7080865B" w:rsidR="00134955" w:rsidRDefault="00134955" w:rsidP="00542651">
      <w:pPr>
        <w:numPr>
          <w:ilvl w:val="0"/>
          <w:numId w:val="8"/>
        </w:numPr>
        <w:spacing w:before="80" w:after="80" w:line="240" w:lineRule="auto"/>
        <w:ind w:left="357" w:hanging="357"/>
      </w:pPr>
      <w:r>
        <w:t xml:space="preserve">Anime y apoye a las niñas y niños para que exploren y sugieran opciones de seguimiento y posibles soluciones que ellos mismos consideren apropiadas. </w:t>
      </w:r>
      <w:r w:rsidR="00052581">
        <w:t>Las personas trabajadoras</w:t>
      </w:r>
      <w:r>
        <w:t xml:space="preserve"> de casos también deben explicar las acciones que consideren apropiadas y buscar las opiniones del niño o niña sobre la acción propuesta.</w:t>
      </w:r>
    </w:p>
    <w:p w14:paraId="2FEC8768" w14:textId="77777777" w:rsidR="00134955" w:rsidRDefault="00134955" w:rsidP="00542651">
      <w:pPr>
        <w:numPr>
          <w:ilvl w:val="0"/>
          <w:numId w:val="8"/>
        </w:numPr>
        <w:spacing w:before="80" w:after="80" w:line="240" w:lineRule="auto"/>
        <w:ind w:left="357" w:hanging="357"/>
      </w:pPr>
      <w:r>
        <w:t>Utilice técnicas de entrevista adaptadas a los niños o niñas que les permitan expresarse. El uso de dibujos, árboles genealógicos, líneas de tiempo y actividades diarias puede ayudar a que las niñas y niños se sientan cómodos y expresen sus necesidades, capacidades y opiniones con sus propias palabras.</w:t>
      </w:r>
    </w:p>
    <w:p w14:paraId="044C4F8A" w14:textId="77777777" w:rsidR="00542651" w:rsidRDefault="00542651" w:rsidP="00542651">
      <w:pPr>
        <w:spacing w:before="80" w:after="80" w:line="240" w:lineRule="auto"/>
        <w:jc w:val="both"/>
        <w:rPr>
          <w:b/>
        </w:rPr>
      </w:pPr>
    </w:p>
    <w:p w14:paraId="201368B7" w14:textId="6EA9D48E" w:rsidR="00134955" w:rsidRDefault="00134955" w:rsidP="00542651">
      <w:pPr>
        <w:spacing w:before="80" w:after="80" w:line="240" w:lineRule="auto"/>
        <w:jc w:val="both"/>
      </w:pPr>
      <w:r>
        <w:rPr>
          <w:b/>
        </w:rPr>
        <w:t>Tómese tiempo, pero no en exceso:</w:t>
      </w:r>
      <w:r>
        <w:t xml:space="preserve"> Si bien las respuestas urgentes a un problema de protección no deben demorarse, algunos casos complejos requerirán tiempo adicional para ganarse la confianza del niño o niña, o para que comprendan sus opciones antes de identificar conjuntamente el seguimiento más adecuado.</w:t>
      </w:r>
    </w:p>
    <w:p w14:paraId="23A4F658" w14:textId="77777777" w:rsidR="00134955" w:rsidRDefault="00134955" w:rsidP="00542651">
      <w:pPr>
        <w:numPr>
          <w:ilvl w:val="0"/>
          <w:numId w:val="5"/>
        </w:numPr>
        <w:spacing w:before="80" w:after="80" w:line="240" w:lineRule="auto"/>
        <w:ind w:left="357" w:hanging="357"/>
      </w:pPr>
      <w:r>
        <w:t>Pregunte a los niños y niñas sobre sus preferencias en cuanto a la duración y frecuencia de las acciones, incluidas las entrevistas. Explique los motivos por los cuales no es posible implementar sus preferencias.</w:t>
      </w:r>
    </w:p>
    <w:p w14:paraId="0A8B5AD9" w14:textId="77777777" w:rsidR="00134955" w:rsidRDefault="00134955" w:rsidP="00542651">
      <w:pPr>
        <w:numPr>
          <w:ilvl w:val="0"/>
          <w:numId w:val="5"/>
        </w:numPr>
        <w:spacing w:before="80" w:after="80" w:line="240" w:lineRule="auto"/>
        <w:ind w:left="357" w:hanging="357"/>
      </w:pPr>
      <w:r>
        <w:t>Si tiene un tiempo limitado, o no puede respetar los plazos establecidos originalmente, explique las razones de esto al niño o niña.</w:t>
      </w:r>
    </w:p>
    <w:p w14:paraId="1129BEE2" w14:textId="77777777" w:rsidR="00542651" w:rsidRDefault="00542651" w:rsidP="00542651">
      <w:pPr>
        <w:spacing w:before="80" w:after="80" w:line="240" w:lineRule="auto"/>
        <w:jc w:val="both"/>
        <w:rPr>
          <w:b/>
        </w:rPr>
      </w:pPr>
    </w:p>
    <w:p w14:paraId="1F28F83F" w14:textId="7E940FA9" w:rsidR="00134955" w:rsidRDefault="00134955" w:rsidP="00542651">
      <w:pPr>
        <w:spacing w:before="80" w:after="80" w:line="240" w:lineRule="auto"/>
        <w:jc w:val="both"/>
      </w:pPr>
      <w:r>
        <w:rPr>
          <w:b/>
        </w:rPr>
        <w:t>Sea sensible:</w:t>
      </w:r>
      <w:r>
        <w:t xml:space="preserve"> Los niños y niñas en situación de riesgo a menudo han vivido eventos traumáticos y las decisiones relacionadas con el BIP pueden ser perturbadoras en algunas circunstancias.</w:t>
      </w:r>
    </w:p>
    <w:p w14:paraId="01C85252" w14:textId="0DAF3637" w:rsidR="00134955" w:rsidRDefault="00134955" w:rsidP="00542651">
      <w:pPr>
        <w:numPr>
          <w:ilvl w:val="0"/>
          <w:numId w:val="9"/>
        </w:numPr>
        <w:spacing w:before="80" w:after="80" w:line="240" w:lineRule="auto"/>
        <w:ind w:left="357" w:hanging="357"/>
      </w:pPr>
      <w:r>
        <w:t xml:space="preserve">Al transmitir un mensaje sobre una decisión o un resultado que no es el esperado por el niño o niña, o su familia, se necesita preparación para responder ante su posible angustia. </w:t>
      </w:r>
      <w:r w:rsidR="00052581">
        <w:t>La persona trabajadora</w:t>
      </w:r>
      <w:r>
        <w:t xml:space="preserve"> de casos debe evaluar la probable reacción del niño </w:t>
      </w:r>
      <w:r w:rsidR="00052581">
        <w:t xml:space="preserve">o niña </w:t>
      </w:r>
      <w:r>
        <w:t>y ser capaz de responder con apoyo psicosocial y asesoramiento cuando sea necesario. Por ejemplo, una decisión sobre la separación de un niño o niña de sus padres/madres será una experiencia angustiosa para todos ellos. Por lo tanto, es necesario explicar tales decisiones con la sensibilidad, el cuidado y la empatía necesarias.</w:t>
      </w:r>
    </w:p>
    <w:p w14:paraId="7D0AC790" w14:textId="15BF97DA" w:rsidR="00134955" w:rsidRDefault="00134955" w:rsidP="00542651">
      <w:pPr>
        <w:numPr>
          <w:ilvl w:val="0"/>
          <w:numId w:val="9"/>
        </w:numPr>
        <w:spacing w:before="80" w:after="80" w:line="240" w:lineRule="auto"/>
        <w:ind w:left="357" w:hanging="357"/>
      </w:pPr>
      <w:r>
        <w:t xml:space="preserve">Seleccione una </w:t>
      </w:r>
      <w:r w:rsidR="00052581">
        <w:t xml:space="preserve">persona </w:t>
      </w:r>
      <w:r>
        <w:t>intérprete del género apropiado y analice el caso antes de reunirse con la familia de la niña o niño.</w:t>
      </w:r>
    </w:p>
    <w:p w14:paraId="2196CCDD" w14:textId="10407C40" w:rsidR="00134955" w:rsidRDefault="00134955" w:rsidP="00542651">
      <w:pPr>
        <w:numPr>
          <w:ilvl w:val="0"/>
          <w:numId w:val="9"/>
        </w:numPr>
        <w:spacing w:before="80" w:after="80" w:line="240" w:lineRule="auto"/>
        <w:ind w:left="357" w:hanging="357"/>
      </w:pPr>
      <w:r>
        <w:t xml:space="preserve">Ciertas decisiones que no fueron las esperadas por la familia de la niña o niño pueden dar lugar a que la familia/persona cuidadora culpe al niño o niña por el resultado negativo (por ejemplo, un proceso de DIS a través del cual toda la familia esperaba ser reasentada). </w:t>
      </w:r>
      <w:r w:rsidR="00052581">
        <w:t>Las personas</w:t>
      </w:r>
      <w:r>
        <w:t xml:space="preserve"> trabajadoras de casos deben explicar cuidadosamente las razones de la decisión y realizar visitas de seguimiento/supervisión para controlar al niño o niña, cuando sea necesario.</w:t>
      </w:r>
    </w:p>
    <w:p w14:paraId="7212D543" w14:textId="77777777" w:rsidR="00542651" w:rsidRDefault="00542651" w:rsidP="00542651">
      <w:pPr>
        <w:spacing w:before="80" w:after="80" w:line="240" w:lineRule="auto"/>
        <w:jc w:val="both"/>
        <w:rPr>
          <w:b/>
        </w:rPr>
      </w:pPr>
    </w:p>
    <w:p w14:paraId="313DF3E8" w14:textId="098C9A94" w:rsidR="00134955" w:rsidRDefault="00134955" w:rsidP="00542651">
      <w:pPr>
        <w:spacing w:before="80" w:after="80" w:line="240" w:lineRule="auto"/>
        <w:jc w:val="both"/>
      </w:pPr>
      <w:r>
        <w:rPr>
          <w:b/>
        </w:rPr>
        <w:t>Involucre a los padres/madres y personas cuidadoras:</w:t>
      </w:r>
      <w:r>
        <w:t xml:space="preserve"> Se debe procurar que los padres/madres y las personas cuidadores asuman la responsabilidad de la protección, el bienestar y el desarrollo del niño o niña, de acuerdo con sus obligaciones y en consonancia con el interés superior del niño o niña.</w:t>
      </w:r>
    </w:p>
    <w:p w14:paraId="30C2D8E9" w14:textId="268FCB08" w:rsidR="00134955" w:rsidRDefault="00134955" w:rsidP="00542651">
      <w:pPr>
        <w:numPr>
          <w:ilvl w:val="0"/>
          <w:numId w:val="7"/>
        </w:numPr>
        <w:spacing w:before="80" w:after="80" w:line="240" w:lineRule="auto"/>
        <w:ind w:left="357" w:hanging="357"/>
      </w:pPr>
      <w:r>
        <w:t>Es importante consultar/obtener permiso de los padres/madres o personas cuidadoras antes de involucrar al niño o niña.</w:t>
      </w:r>
    </w:p>
    <w:p w14:paraId="3E081D04" w14:textId="694CF601" w:rsidR="00134955" w:rsidRDefault="00347F5C" w:rsidP="00542651">
      <w:pPr>
        <w:numPr>
          <w:ilvl w:val="0"/>
          <w:numId w:val="7"/>
        </w:numPr>
        <w:spacing w:before="80" w:after="80" w:line="240" w:lineRule="auto"/>
        <w:ind w:left="357" w:hanging="357"/>
      </w:pPr>
      <w:r>
        <w:t>Las personas</w:t>
      </w:r>
      <w:r w:rsidR="00134955">
        <w:t xml:space="preserve"> trabajadoras de casos deben explicar que el desarrollo de las propias fortalezas y capacidades del niño o niña no tiene como objetivo socavar el papel de los padres/madres. Promover la participación significativa de los niños y niñas debe involucrar de manera positiva a sus padres/madres o personas cuidadoras.</w:t>
      </w:r>
    </w:p>
    <w:p w14:paraId="3F4059AD" w14:textId="77777777" w:rsidR="00542651" w:rsidRDefault="00542651" w:rsidP="00542651">
      <w:pPr>
        <w:spacing w:before="80" w:after="80" w:line="240" w:lineRule="auto"/>
        <w:jc w:val="both"/>
        <w:rPr>
          <w:b/>
        </w:rPr>
      </w:pPr>
    </w:p>
    <w:p w14:paraId="584DE909" w14:textId="578C5FB4" w:rsidR="00134955" w:rsidRDefault="00134955" w:rsidP="00542651">
      <w:pPr>
        <w:spacing w:before="80" w:after="80" w:line="240" w:lineRule="auto"/>
        <w:jc w:val="both"/>
        <w:rPr>
          <w:b/>
        </w:rPr>
      </w:pPr>
      <w:r>
        <w:rPr>
          <w:b/>
        </w:rPr>
        <w:t xml:space="preserve">Sea profesional: </w:t>
      </w:r>
    </w:p>
    <w:p w14:paraId="3FF1DC28" w14:textId="6B310500" w:rsidR="00134955" w:rsidRDefault="00134955" w:rsidP="00542651">
      <w:pPr>
        <w:numPr>
          <w:ilvl w:val="0"/>
          <w:numId w:val="6"/>
        </w:numPr>
        <w:spacing w:before="80" w:after="80" w:line="240" w:lineRule="auto"/>
        <w:ind w:left="357" w:hanging="357"/>
        <w:jc w:val="both"/>
      </w:pPr>
      <w:r>
        <w:t xml:space="preserve">Asegúrese de que el personal y </w:t>
      </w:r>
      <w:r w:rsidR="00347F5C">
        <w:t>las personas</w:t>
      </w:r>
      <w:r>
        <w:t xml:space="preserve"> intérpretes estén capacitad</w:t>
      </w:r>
      <w:r w:rsidR="00347F5C">
        <w:t>a</w:t>
      </w:r>
      <w:r>
        <w:t>s en habilidades de comunicación y tengan experiencia en el trabajo con niños y niñas (ver competencias, ver sección 3.4.3).</w:t>
      </w:r>
    </w:p>
    <w:p w14:paraId="3C97B4DC" w14:textId="5299CBA8" w:rsidR="00134955" w:rsidRPr="00393FBF" w:rsidRDefault="00134955" w:rsidP="005426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357" w:hanging="357"/>
        <w:jc w:val="both"/>
      </w:pPr>
      <w:r>
        <w:t xml:space="preserve">Asegúrese de que </w:t>
      </w:r>
      <w:r w:rsidR="00347F5C">
        <w:t>las personas trabajadoras</w:t>
      </w:r>
      <w:r>
        <w:t xml:space="preserve"> de casos revisen la información sobre el niño o niña que ya está disponible antes de interactuar con ellos. Esto evitaría que se hicieran las mismas preguntas varias veces y se tendría una consideración previa de los elementos sensibles que podrían influir en qué preguntas deben o no deben hacerse.</w:t>
      </w:r>
    </w:p>
    <w:p w14:paraId="23023CF5" w14:textId="77777777" w:rsidR="00134955" w:rsidRDefault="00134955" w:rsidP="005426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357" w:hanging="357"/>
        <w:jc w:val="both"/>
      </w:pPr>
      <w:r>
        <w:rPr>
          <w:color w:val="000000"/>
        </w:rPr>
        <w:t xml:space="preserve">Se requiere una actitud flexible respecto a la edad, teniendo en cuenta los factores culturales y de desarrollo relevantes. Los niños y niñas de hasta ocho </w:t>
      </w:r>
      <w:proofErr w:type="gramStart"/>
      <w:r>
        <w:rPr>
          <w:color w:val="000000"/>
        </w:rPr>
        <w:t>años de edad</w:t>
      </w:r>
      <w:proofErr w:type="gramEnd"/>
      <w:r>
        <w:rPr>
          <w:color w:val="000000"/>
        </w:rPr>
        <w:t xml:space="preserve"> pueden tomar decisiones acertadas y bien informadas sobre asuntos serios que afectan sus vidas.</w:t>
      </w:r>
    </w:p>
    <w:p w14:paraId="27E93F19" w14:textId="7126D334" w:rsidR="00134955" w:rsidRDefault="00134955" w:rsidP="005426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357" w:hanging="357"/>
      </w:pPr>
      <w:r>
        <w:rPr>
          <w:color w:val="000000"/>
        </w:rPr>
        <w:t xml:space="preserve">Si bien el artículo 12 de la Convención de los Derechos del Niño no define “madurez”, implica la capacidad del niño o niña </w:t>
      </w:r>
      <w:r w:rsidR="00347F5C">
        <w:rPr>
          <w:color w:val="000000"/>
        </w:rPr>
        <w:t xml:space="preserve">para </w:t>
      </w:r>
      <w:r>
        <w:rPr>
          <w:color w:val="000000"/>
        </w:rPr>
        <w:t>comprender y evaluar las implicaciones de varias opciones. Por ejemplo, el niño o niña puede tener conocimientos y comprensión limitados con respecto a una decisión sobre el reasentamiento en un país lejano.</w:t>
      </w:r>
    </w:p>
    <w:p w14:paraId="3A266F7C" w14:textId="5CEA6943" w:rsidR="00134955" w:rsidRDefault="00134955" w:rsidP="005426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357" w:hanging="357"/>
      </w:pPr>
      <w:r>
        <w:rPr>
          <w:color w:val="000000"/>
        </w:rPr>
        <w:t>La</w:t>
      </w:r>
      <w:r w:rsidR="00347F5C">
        <w:rPr>
          <w:color w:val="000000"/>
        </w:rPr>
        <w:t>s</w:t>
      </w:r>
      <w:r>
        <w:rPr>
          <w:color w:val="000000"/>
        </w:rPr>
        <w:t xml:space="preserve"> niñas y niños traumatizados, como los adultos, pueden tener dificultades para expresarse, adquirir conocimientos y resolver problemas. Se recomienda la participación de expertos si es necesario.</w:t>
      </w:r>
    </w:p>
    <w:p w14:paraId="6F8FB3DF" w14:textId="01EC736E" w:rsidR="00134955" w:rsidRDefault="00134955" w:rsidP="005426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357" w:hanging="357"/>
      </w:pPr>
      <w:r>
        <w:rPr>
          <w:color w:val="000000"/>
        </w:rPr>
        <w:lastRenderedPageBreak/>
        <w:t>En los casos de reunificación familiar, debe evaluarse cuidadosamente cualquier reticencia del niño o niña, o de su familia, a reunirse. Las razones pueden incluir recuerdos dolorosos de la separación que son difíciles de superar, sentimientos de ira por haber sido abandonado por la familia o miedo a tener que vivir con personas con las que el niño o niña no está familiarizado (particularmente en los casos en que uno de los progenitores se volvió a casar). Siempre que sea posible, los obstáculos deben abordarse a través de los servicios sociales, la mediación familiar</w:t>
      </w:r>
      <w:r>
        <w:rPr>
          <w:rStyle w:val="FootnoteReference"/>
          <w:color w:val="000000"/>
        </w:rPr>
        <w:footnoteReference w:id="3"/>
      </w:r>
      <w:r>
        <w:rPr>
          <w:color w:val="000000"/>
        </w:rPr>
        <w:t xml:space="preserve"> y el asesoramiento, en lugar de depender simplemente de la preferencia del niño</w:t>
      </w:r>
      <w:r w:rsidR="007D7164">
        <w:rPr>
          <w:color w:val="000000"/>
        </w:rPr>
        <w:t xml:space="preserve"> o niña</w:t>
      </w:r>
      <w:r>
        <w:rPr>
          <w:color w:val="000000"/>
        </w:rPr>
        <w:t>.</w:t>
      </w:r>
    </w:p>
    <w:p w14:paraId="76F46B51" w14:textId="77777777" w:rsidR="00134955" w:rsidRDefault="00134955" w:rsidP="005426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357" w:hanging="357"/>
      </w:pPr>
      <w:r>
        <w:rPr>
          <w:color w:val="000000"/>
        </w:rPr>
        <w:t>Las opiniones expresadas por el niño o niña pueden ser total o parcialmente el resultado de la manipulación de otros, en cuyo caso se deben hacer esfuerzos para determinar las opiniones reales del niño o niña.</w:t>
      </w:r>
    </w:p>
    <w:p w14:paraId="19C605A1" w14:textId="49D13262" w:rsidR="00134955" w:rsidRDefault="00134955" w:rsidP="005426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357" w:hanging="357"/>
      </w:pPr>
      <w:r>
        <w:rPr>
          <w:color w:val="000000"/>
        </w:rPr>
        <w:t xml:space="preserve">El ejercicio del derecho a ser escuchado también está vinculado al derecho de recibir información de manera que el niño o la niña pueda entenderla (teniendo en cuenta su edad y cualquier dificultad física o intelectual para recibir/comprender la información). Para que la niña o niño exprese sus opiniones, es importante asegurarse de que esté informado sobre el proceso, los problemas y las opciones relacionados con su situación/caso. </w:t>
      </w:r>
    </w:p>
    <w:p w14:paraId="5CD2A710" w14:textId="77777777" w:rsidR="0003153C" w:rsidRPr="0003153C" w:rsidRDefault="0003153C" w:rsidP="00542651">
      <w:pPr>
        <w:spacing w:line="240" w:lineRule="auto"/>
      </w:pPr>
    </w:p>
    <w:sectPr w:rsidR="0003153C" w:rsidRPr="0003153C" w:rsidSect="00542651">
      <w:headerReference w:type="default" r:id="rId10"/>
      <w:footerReference w:type="default" r:id="rId11"/>
      <w:pgSz w:w="11900" w:h="16840" w:code="9"/>
      <w:pgMar w:top="992" w:right="1134" w:bottom="99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918C2" w14:textId="77777777" w:rsidR="00E257D5" w:rsidRDefault="00E257D5" w:rsidP="003E43F6">
      <w:pPr>
        <w:spacing w:after="0" w:line="240" w:lineRule="auto"/>
      </w:pPr>
      <w:r>
        <w:separator/>
      </w:r>
    </w:p>
  </w:endnote>
  <w:endnote w:type="continuationSeparator" w:id="0">
    <w:p w14:paraId="6F71CB41" w14:textId="77777777" w:rsidR="00E257D5" w:rsidRDefault="00E257D5" w:rsidP="003E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Pro-Bd">
    <w:altName w:val="HelveticaNeueLT Pro 55 Roman"/>
    <w:panose1 w:val="020B0604020202020204"/>
    <w:charset w:val="00"/>
    <w:family w:val="roman"/>
    <w:pitch w:val="variable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908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D2850" w14:textId="77777777" w:rsidR="002F6215" w:rsidRDefault="00B269B9" w:rsidP="0003153C">
        <w:pPr>
          <w:pStyle w:val="Footer"/>
          <w:rPr>
            <w:noProof/>
          </w:rPr>
        </w:pPr>
        <w:r w:rsidRPr="008314E0">
          <w:fldChar w:fldCharType="begin"/>
        </w:r>
        <w:r w:rsidRPr="008314E0">
          <w:instrText xml:space="preserve"> PAGE   \* MERGEFORMAT </w:instrText>
        </w:r>
        <w:r w:rsidRPr="008314E0">
          <w:fldChar w:fldCharType="separate"/>
        </w:r>
        <w:r w:rsidR="00134955">
          <w:t>1</w:t>
        </w:r>
        <w:r w:rsidRPr="008314E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592F7" w14:textId="77777777" w:rsidR="00E257D5" w:rsidRDefault="00E257D5" w:rsidP="003E43F6">
      <w:pPr>
        <w:spacing w:after="0" w:line="240" w:lineRule="auto"/>
      </w:pPr>
      <w:r>
        <w:separator/>
      </w:r>
    </w:p>
  </w:footnote>
  <w:footnote w:type="continuationSeparator" w:id="0">
    <w:p w14:paraId="6C72C1EB" w14:textId="77777777" w:rsidR="00E257D5" w:rsidRDefault="00E257D5" w:rsidP="003E43F6">
      <w:pPr>
        <w:spacing w:after="0" w:line="240" w:lineRule="auto"/>
      </w:pPr>
      <w:r>
        <w:continuationSeparator/>
      </w:r>
    </w:p>
  </w:footnote>
  <w:footnote w:id="1">
    <w:p w14:paraId="1BD397CA" w14:textId="77777777" w:rsidR="00134955" w:rsidRPr="00EA2900" w:rsidRDefault="00134955" w:rsidP="00134955">
      <w:pPr>
        <w:pStyle w:val="NoSpacing"/>
        <w:rPr>
          <w:rFonts w:eastAsia="Times New Roman" w:cstheme="minorHAnsi"/>
          <w:sz w:val="16"/>
          <w:szCs w:val="16"/>
        </w:rPr>
      </w:pPr>
      <w:r>
        <w:rPr>
          <w:rStyle w:val="FootnoteReference"/>
          <w:rFonts w:cstheme="minorHAnsi"/>
          <w:sz w:val="16"/>
          <w:szCs w:val="16"/>
        </w:rPr>
        <w:footnoteRef/>
      </w:r>
      <w:r>
        <w:rPr>
          <w:sz w:val="16"/>
        </w:rPr>
        <w:t xml:space="preserve"> La </w:t>
      </w:r>
      <w:r>
        <w:rPr>
          <w:i/>
          <w:sz w:val="16"/>
        </w:rPr>
        <w:t xml:space="preserve">Convención sobre los derechos de las personas con discapacidad </w:t>
      </w:r>
      <w:r>
        <w:rPr>
          <w:sz w:val="16"/>
        </w:rPr>
        <w:t xml:space="preserve">señala explícitamente que la información proporcionada a los niños y niñas con discapacidad debe hacerse en un formato que sea accesible y apropiado. </w:t>
      </w:r>
    </w:p>
  </w:footnote>
  <w:footnote w:id="2">
    <w:p w14:paraId="1F72E325" w14:textId="77777777" w:rsidR="00134955" w:rsidRPr="00EA2900" w:rsidRDefault="00134955" w:rsidP="00134955">
      <w:pPr>
        <w:pStyle w:val="NoSpacing"/>
        <w:rPr>
          <w:rFonts w:cstheme="minorHAnsi"/>
          <w:sz w:val="16"/>
          <w:szCs w:val="16"/>
        </w:rPr>
      </w:pPr>
      <w:r>
        <w:rPr>
          <w:rStyle w:val="FootnoteReference"/>
          <w:rFonts w:cstheme="minorHAnsi"/>
          <w:sz w:val="16"/>
          <w:szCs w:val="16"/>
        </w:rPr>
        <w:footnoteRef/>
      </w:r>
      <w:r>
        <w:rPr>
          <w:sz w:val="16"/>
        </w:rPr>
        <w:t xml:space="preserve"> Para obtener más información sobre la protección y programación para niños y niñas con discapacidades, consulte la </w:t>
      </w:r>
      <w:r>
        <w:rPr>
          <w:i/>
          <w:sz w:val="16"/>
        </w:rPr>
        <w:t>Nota informativa sobre protección infantil: Niños y niñas con discapacidades del ACNUR</w:t>
      </w:r>
      <w:r>
        <w:rPr>
          <w:sz w:val="16"/>
        </w:rPr>
        <w:t>, abril de 2015, disponible en: https://www.refworld.org/docid/55cc4a564.html</w:t>
      </w:r>
    </w:p>
  </w:footnote>
  <w:footnote w:id="3">
    <w:p w14:paraId="1580D637" w14:textId="77777777" w:rsidR="00134955" w:rsidRPr="00EA2900" w:rsidRDefault="00134955" w:rsidP="00134955">
      <w:pPr>
        <w:pStyle w:val="NoSpacing"/>
        <w:rPr>
          <w:rFonts w:cstheme="minorHAnsi"/>
          <w:sz w:val="16"/>
          <w:szCs w:val="16"/>
        </w:rPr>
      </w:pPr>
      <w:r>
        <w:rPr>
          <w:rStyle w:val="FootnoteReference"/>
          <w:rFonts w:cstheme="minorHAnsi"/>
          <w:sz w:val="16"/>
          <w:szCs w:val="16"/>
        </w:rPr>
        <w:footnoteRef/>
      </w:r>
      <w:r>
        <w:rPr>
          <w:sz w:val="16"/>
        </w:rPr>
        <w:t xml:space="preserve"> La mediación familiar requiere conocimientos y habilidades específicas por parte del/ de la trabajador/a de casos. Puede ser un proceso estresante y muy emocional para los miembros de la familia, los niños y las niñas. Cuando se requiera la mediación familiar, los administradores de casos deben asignar un/a trabajador/a de casos con capacitación en fortalecimiento familiar, trabajo social y mediación. Cuando no se disponga de trabajadores/as de casos capacitados, se deben realizar esfuerzos para seleccionar un miembro del personal capacitado de los servicios sociales nacionales o del sistema de protección de la infancia para brindar dicho apoyo.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4D6E" w14:textId="742CB169" w:rsidR="00545EB9" w:rsidRDefault="00FB6B76" w:rsidP="00542651">
    <w:pPr>
      <w:pStyle w:val="Header"/>
      <w:jc w:val="right"/>
    </w:pPr>
    <w:r>
      <w:rPr>
        <w:noProof/>
      </w:rPr>
      <w:drawing>
        <wp:inline distT="0" distB="0" distL="0" distR="0" wp14:anchorId="719F0556" wp14:editId="7C9CA3F5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13F2"/>
    <w:multiLevelType w:val="multilevel"/>
    <w:tmpl w:val="A16AF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275BE"/>
    <w:multiLevelType w:val="multilevel"/>
    <w:tmpl w:val="8DF69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5E17CE"/>
    <w:multiLevelType w:val="multilevel"/>
    <w:tmpl w:val="F7ECC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391D42"/>
    <w:multiLevelType w:val="multilevel"/>
    <w:tmpl w:val="46886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76CC2"/>
    <w:multiLevelType w:val="multilevel"/>
    <w:tmpl w:val="15FA8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525E2B"/>
    <w:multiLevelType w:val="multilevel"/>
    <w:tmpl w:val="0409001D"/>
    <w:numStyleLink w:val="List-Bullets"/>
  </w:abstractNum>
  <w:abstractNum w:abstractNumId="6" w15:restartNumberingAfterBreak="0">
    <w:nsid w:val="3AC26019"/>
    <w:multiLevelType w:val="hybridMultilevel"/>
    <w:tmpl w:val="3D541074"/>
    <w:lvl w:ilvl="0" w:tplc="77903CF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HelveticaNeueLTPro-Bd" w:hAnsi="Times New Roman" w:cs="Times New Roman" w:hint="default"/>
        <w:b/>
        <w:bCs/>
        <w:color w:val="007A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23AEB"/>
    <w:multiLevelType w:val="multilevel"/>
    <w:tmpl w:val="12CA4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BB16EB"/>
    <w:multiLevelType w:val="multilevel"/>
    <w:tmpl w:val="F8824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BF0974"/>
    <w:multiLevelType w:val="multilevel"/>
    <w:tmpl w:val="C6C29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D65A0F"/>
    <w:multiLevelType w:val="hybridMultilevel"/>
    <w:tmpl w:val="0D76A4C6"/>
    <w:lvl w:ilvl="0" w:tplc="B6B61BF0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B309B5"/>
    <w:multiLevelType w:val="multilevel"/>
    <w:tmpl w:val="0409001D"/>
    <w:styleLink w:val="List-Bullets"/>
    <w:lvl w:ilvl="0">
      <w:start w:val="1"/>
      <w:numFmt w:val="bullet"/>
      <w:pStyle w:val="ListParagraph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5"/>
    <w:rsid w:val="0003153C"/>
    <w:rsid w:val="00052581"/>
    <w:rsid w:val="00057FAA"/>
    <w:rsid w:val="00072F1F"/>
    <w:rsid w:val="00134955"/>
    <w:rsid w:val="002F37E8"/>
    <w:rsid w:val="00347F5C"/>
    <w:rsid w:val="00386E39"/>
    <w:rsid w:val="003E43F6"/>
    <w:rsid w:val="00506FB9"/>
    <w:rsid w:val="005167B3"/>
    <w:rsid w:val="00542651"/>
    <w:rsid w:val="00545EB9"/>
    <w:rsid w:val="005A7D4C"/>
    <w:rsid w:val="00693849"/>
    <w:rsid w:val="00710B7D"/>
    <w:rsid w:val="007D7164"/>
    <w:rsid w:val="00921579"/>
    <w:rsid w:val="009A3461"/>
    <w:rsid w:val="00B269B9"/>
    <w:rsid w:val="00CB5E7D"/>
    <w:rsid w:val="00CD7A2F"/>
    <w:rsid w:val="00E257D5"/>
    <w:rsid w:val="00EB6A48"/>
    <w:rsid w:val="00EC2538"/>
    <w:rsid w:val="00FB610B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DDC0"/>
  <w15:chartTrackingRefBased/>
  <w15:docId w15:val="{39E97010-3998-41FE-BBF5-72B45CA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55"/>
    <w:pPr>
      <w:spacing w:after="120" w:line="264" w:lineRule="auto"/>
    </w:pPr>
    <w:rPr>
      <w:rFonts w:asciiTheme="minorHAnsi" w:eastAsiaTheme="minorEastAsia" w:hAnsi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61"/>
    <w:pPr>
      <w:keepNext/>
      <w:keepLines/>
      <w:outlineLvl w:val="0"/>
    </w:pPr>
    <w:rPr>
      <w:rFonts w:eastAsiaTheme="majorEastAsia"/>
      <w:bCs/>
      <w:color w:val="0072BC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61"/>
    <w:pPr>
      <w:keepNext/>
      <w:keepLines/>
      <w:spacing w:line="288" w:lineRule="auto"/>
      <w:outlineLvl w:val="1"/>
    </w:pPr>
    <w:rPr>
      <w:rFonts w:asciiTheme="majorHAnsi" w:eastAsiaTheme="majorEastAsia" w:hAnsiTheme="majorHAnsi" w:cstheme="majorBidi"/>
      <w:bCs/>
      <w:color w:val="0072BC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3C"/>
    <w:pPr>
      <w:keepNext/>
      <w:keepLines/>
      <w:spacing w:after="140" w:line="288" w:lineRule="auto"/>
      <w:outlineLvl w:val="2"/>
    </w:pPr>
    <w:rPr>
      <w:rFonts w:asciiTheme="majorHAnsi" w:eastAsiaTheme="majorEastAsia" w:hAnsiTheme="majorHAnsi" w:cstheme="majorBidi"/>
      <w:bCs/>
      <w:color w:val="0072BC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53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72B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7132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61"/>
    <w:rPr>
      <w:rFonts w:eastAsiaTheme="majorEastAsia" w:cs="Arial"/>
      <w:bCs/>
      <w:color w:val="0072BC" w:themeColor="text2"/>
      <w:sz w:val="48"/>
      <w:szCs w:val="4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9A3461"/>
    <w:rPr>
      <w:rFonts w:asciiTheme="majorHAnsi" w:eastAsiaTheme="majorEastAsia" w:hAnsiTheme="majorHAnsi" w:cstheme="majorBidi"/>
      <w:bCs/>
      <w:color w:val="0072BC" w:themeColor="text2"/>
      <w:sz w:val="36"/>
      <w:szCs w:val="3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03153C"/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03153C"/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s-ES"/>
    </w:rPr>
  </w:style>
  <w:style w:type="character" w:styleId="IntenseEmphasis">
    <w:name w:val="Intense Emphasis"/>
    <w:basedOn w:val="DefaultParagraphFont"/>
    <w:uiPriority w:val="21"/>
    <w:qFormat/>
    <w:rsid w:val="00B269B9"/>
    <w:rPr>
      <w:b/>
      <w:bCs/>
      <w:i/>
      <w:iCs/>
      <w:color w:val="0072BC" w:themeColor="text2"/>
    </w:rPr>
  </w:style>
  <w:style w:type="character" w:styleId="Strong">
    <w:name w:val="Strong"/>
    <w:basedOn w:val="DefaultParagraphFont"/>
    <w:uiPriority w:val="22"/>
    <w:qFormat/>
    <w:rsid w:val="003E43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269B9"/>
    <w:pPr>
      <w:pBdr>
        <w:left w:val="single" w:sz="24" w:space="14" w:color="FAEB00" w:themeColor="accent3"/>
      </w:pBdr>
      <w:spacing w:after="0" w:line="288" w:lineRule="auto"/>
    </w:pPr>
    <w:rPr>
      <w:iCs/>
      <w:color w:val="0072BC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269B9"/>
    <w:rPr>
      <w:rFonts w:eastAsiaTheme="minorEastAsia" w:cs="Arial"/>
      <w:iCs/>
      <w:color w:val="0072BC" w:themeColor="text2"/>
      <w:sz w:val="28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3E43F6"/>
    <w:pPr>
      <w:numPr>
        <w:numId w:val="3"/>
      </w:numPr>
      <w:contextualSpacing/>
    </w:pPr>
  </w:style>
  <w:style w:type="numbering" w:customStyle="1" w:styleId="List-Bullets">
    <w:name w:val="List-Bullets"/>
    <w:uiPriority w:val="99"/>
    <w:rsid w:val="003E43F6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269B9"/>
    <w:pPr>
      <w:spacing w:after="200" w:line="240" w:lineRule="auto"/>
    </w:pPr>
    <w:rPr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6"/>
    <w:rPr>
      <w:rFonts w:eastAsiaTheme="minorEastAsia" w:cs="Arial"/>
      <w:sz w:val="20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6"/>
    <w:rPr>
      <w:rFonts w:eastAsiaTheme="minorEastAsia" w:cs="Arial"/>
      <w:sz w:val="20"/>
      <w:szCs w:val="24"/>
      <w:lang w:val="es-ES"/>
    </w:rPr>
  </w:style>
  <w:style w:type="paragraph" w:customStyle="1" w:styleId="Pullout">
    <w:name w:val="Pullout"/>
    <w:basedOn w:val="Quote"/>
    <w:link w:val="PulloutChar"/>
    <w:qFormat/>
    <w:rsid w:val="00B269B9"/>
    <w:pPr>
      <w:pBdr>
        <w:top w:val="single" w:sz="24" w:space="20" w:color="FFFFFF" w:themeColor="background1"/>
        <w:left w:val="single" w:sz="24" w:space="20" w:color="FAEB00" w:themeColor="accent3"/>
        <w:bottom w:val="single" w:sz="24" w:space="20" w:color="FFFFFF" w:themeColor="background1"/>
        <w:right w:val="single" w:sz="24" w:space="20" w:color="FFFFFF" w:themeColor="background1"/>
      </w:pBdr>
      <w:shd w:val="clear" w:color="auto" w:fill="FFFCDF"/>
      <w:spacing w:before="480" w:after="480"/>
      <w:ind w:left="400" w:right="400"/>
    </w:pPr>
    <w:rPr>
      <w:iCs w:val="0"/>
      <w:sz w:val="24"/>
    </w:rPr>
  </w:style>
  <w:style w:type="character" w:customStyle="1" w:styleId="PulloutChar">
    <w:name w:val="Pullout Char"/>
    <w:basedOn w:val="QuoteChar"/>
    <w:link w:val="Pullout"/>
    <w:rsid w:val="00B269B9"/>
    <w:rPr>
      <w:rFonts w:eastAsiaTheme="minorEastAsia" w:cs="Arial"/>
      <w:iCs w:val="0"/>
      <w:color w:val="0072BC" w:themeColor="text2"/>
      <w:sz w:val="24"/>
      <w:szCs w:val="24"/>
      <w:shd w:val="clear" w:color="auto" w:fill="FFFCDF"/>
      <w:lang w:val="es-ES"/>
    </w:rPr>
  </w:style>
  <w:style w:type="paragraph" w:customStyle="1" w:styleId="Box">
    <w:name w:val="Box"/>
    <w:basedOn w:val="Normal"/>
    <w:qFormat/>
    <w:rsid w:val="003E43F6"/>
    <w:pPr>
      <w:pBdr>
        <w:top w:val="single" w:sz="8" w:space="20" w:color="81AADF" w:themeColor="accent4" w:themeTint="66"/>
        <w:left w:val="single" w:sz="8" w:space="20" w:color="81AADF" w:themeColor="accent4" w:themeTint="66"/>
        <w:bottom w:val="single" w:sz="8" w:space="20" w:color="81AADF" w:themeColor="accent4" w:themeTint="66"/>
        <w:right w:val="single" w:sz="8" w:space="20" w:color="81AADF" w:themeColor="accent4" w:themeTint="66"/>
      </w:pBdr>
      <w:shd w:val="clear" w:color="auto" w:fill="E0E7F5"/>
      <w:spacing w:before="400" w:after="400"/>
      <w:ind w:left="400" w:right="400"/>
    </w:pPr>
  </w:style>
  <w:style w:type="paragraph" w:customStyle="1" w:styleId="NumberList">
    <w:name w:val="Number List"/>
    <w:basedOn w:val="ListParagraph"/>
    <w:qFormat/>
    <w:rsid w:val="003E43F6"/>
    <w:pPr>
      <w:numPr>
        <w:numId w:val="4"/>
      </w:numPr>
      <w:spacing w:after="80"/>
      <w:ind w:left="357" w:hanging="357"/>
    </w:pPr>
  </w:style>
  <w:style w:type="paragraph" w:customStyle="1" w:styleId="BulletList">
    <w:name w:val="Bullet List"/>
    <w:basedOn w:val="ListParagraph"/>
    <w:qFormat/>
    <w:rsid w:val="003E43F6"/>
    <w:pPr>
      <w:spacing w:after="80"/>
      <w:ind w:left="357" w:hanging="357"/>
    </w:pPr>
  </w:style>
  <w:style w:type="character" w:customStyle="1" w:styleId="Heading5Char">
    <w:name w:val="Heading 5 Char"/>
    <w:basedOn w:val="DefaultParagraphFont"/>
    <w:link w:val="Heading5"/>
    <w:uiPriority w:val="9"/>
    <w:rsid w:val="009A3461"/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s-ES"/>
    </w:rPr>
  </w:style>
  <w:style w:type="character" w:styleId="Emphasis">
    <w:name w:val="Emphasis"/>
    <w:basedOn w:val="DefaultParagraphFont"/>
    <w:uiPriority w:val="20"/>
    <w:qFormat/>
    <w:rsid w:val="009A346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A3461"/>
    <w:pPr>
      <w:spacing w:after="0" w:line="240" w:lineRule="auto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61"/>
    <w:rPr>
      <w:rFonts w:eastAsiaTheme="majorEastAsia" w:cstheme="majorBidi"/>
      <w:b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61"/>
    <w:pPr>
      <w:numPr>
        <w:ilvl w:val="1"/>
      </w:numPr>
      <w:spacing w:after="160"/>
    </w:pPr>
    <w:rPr>
      <w:color w:val="5A5A5A" w:themeColor="text1" w:themeTint="A5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3461"/>
    <w:rPr>
      <w:rFonts w:eastAsiaTheme="minorEastAsia"/>
      <w:color w:val="5A5A5A" w:themeColor="text1" w:themeTint="A5"/>
      <w:spacing w:val="15"/>
      <w:sz w:val="32"/>
      <w:lang w:val="es-ES"/>
    </w:rPr>
  </w:style>
  <w:style w:type="character" w:styleId="SubtleEmphasis">
    <w:name w:val="Subtle Emphasis"/>
    <w:basedOn w:val="DefaultParagraphFont"/>
    <w:uiPriority w:val="19"/>
    <w:qFormat/>
    <w:rsid w:val="009A34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A346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A3461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53C"/>
    <w:pPr>
      <w:pBdr>
        <w:top w:val="single" w:sz="4" w:space="10" w:color="EF4A60" w:themeColor="accent1"/>
        <w:bottom w:val="single" w:sz="4" w:space="10" w:color="EF4A60" w:themeColor="accent1"/>
      </w:pBdr>
      <w:spacing w:before="360" w:after="360"/>
      <w:ind w:left="864" w:right="864"/>
      <w:jc w:val="center"/>
    </w:pPr>
    <w:rPr>
      <w:i/>
      <w:iCs/>
      <w:color w:val="EF4A6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53C"/>
    <w:rPr>
      <w:rFonts w:eastAsiaTheme="minorEastAsia" w:cs="Arial"/>
      <w:i/>
      <w:iCs/>
      <w:color w:val="EF4A60" w:themeColor="accent1"/>
      <w:sz w:val="20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134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9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34955"/>
    <w:rPr>
      <w:rFonts w:asciiTheme="minorHAnsi" w:eastAsiaTheme="minorEastAsia" w:hAnsiTheme="minorHAnsi"/>
      <w:sz w:val="20"/>
      <w:szCs w:val="20"/>
    </w:rPr>
  </w:style>
  <w:style w:type="character" w:styleId="FootnoteReference">
    <w:name w:val="footnote reference"/>
    <w:aliases w:val="4_G,Footnote Reference/,ftref,Footnote Refernece,Texto de nota al pie,Appel note de bas de page,Footnotes refss,Footnote number,referencia nota al pie,BVI fnr,f,16 Point,Superscript 6 Point,Texto nota al pie,Footnote Reference Char3"/>
    <w:basedOn w:val="DefaultParagraphFont"/>
    <w:uiPriority w:val="99"/>
    <w:unhideWhenUsed/>
    <w:rsid w:val="00134955"/>
    <w:rPr>
      <w:vertAlign w:val="superscript"/>
    </w:rPr>
  </w:style>
  <w:style w:type="paragraph" w:styleId="NoSpacing">
    <w:name w:val="No Spacing"/>
    <w:link w:val="NoSpacingChar"/>
    <w:uiPriority w:val="1"/>
    <w:qFormat/>
    <w:rsid w:val="00134955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34955"/>
    <w:rPr>
      <w:rFonts w:asciiTheme="minorHAnsi" w:eastAsiaTheme="minorEastAsia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55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D4C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NHCR Theme">
      <a:dk1>
        <a:sysClr val="windowText" lastClr="000000"/>
      </a:dk1>
      <a:lt1>
        <a:sysClr val="window" lastClr="FFFFFF"/>
      </a:lt1>
      <a:dk2>
        <a:srgbClr val="0072BC"/>
      </a:dk2>
      <a:lt2>
        <a:srgbClr val="E7E6E6"/>
      </a:lt2>
      <a:accent1>
        <a:srgbClr val="EF4A60"/>
      </a:accent1>
      <a:accent2>
        <a:srgbClr val="00B398"/>
      </a:accent2>
      <a:accent3>
        <a:srgbClr val="FAEB00"/>
      </a:accent3>
      <a:accent4>
        <a:srgbClr val="18375F"/>
      </a:accent4>
      <a:accent5>
        <a:srgbClr val="80B9DE"/>
      </a:accent5>
      <a:accent6>
        <a:srgbClr val="A5A5A5"/>
      </a:accent6>
      <a:hlink>
        <a:srgbClr val="007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4E262-A830-4E21-9CE0-D20E6E984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49CFF-465E-437F-BC49-63F60A9BB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6A1A8B-3B70-4456-A8F5-D2806FC73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1371</Words>
  <Characters>7545</Characters>
  <Application>Microsoft Office Word</Application>
  <DocSecurity>0</DocSecurity>
  <Lines>175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Speck</dc:creator>
  <cp:keywords/>
  <dc:description/>
  <cp:lastModifiedBy>Cliff Speck</cp:lastModifiedBy>
  <cp:revision>7</cp:revision>
  <dcterms:created xsi:type="dcterms:W3CDTF">2020-10-22T14:55:00Z</dcterms:created>
  <dcterms:modified xsi:type="dcterms:W3CDTF">2020-12-11T15:01:00Z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