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4B6C" w:rsidRPr="002B1712" w:rsidRDefault="00E64B6C" w:rsidP="00E64B6C">
      <w:pPr>
        <w:pBdr>
          <w:bottom w:val="single" w:sz="4" w:space="1" w:color="BFBFBF" w:themeColor="background1" w:themeShade="BF"/>
        </w:pBdr>
        <w:rPr>
          <w:rFonts w:ascii="Arial" w:hAnsi="Arial" w:cs="Arial"/>
          <w:b/>
          <w:bCs/>
          <w:color w:val="1F3864" w:themeColor="accent1" w:themeShade="80"/>
          <w:sz w:val="20"/>
          <w:szCs w:val="20"/>
          <w:lang w:val="en-US"/>
        </w:rPr>
      </w:pPr>
      <w:r w:rsidRPr="002B1712">
        <w:rPr>
          <w:rFonts w:ascii="Arial" w:hAnsi="Arial" w:cs="Arial"/>
          <w:b/>
          <w:bCs/>
          <w:color w:val="1F3864" w:themeColor="accent1" w:themeShade="80"/>
          <w:sz w:val="20"/>
          <w:szCs w:val="20"/>
          <w:lang w:val="en-US"/>
        </w:rPr>
        <w:t xml:space="preserve">ANNEX - </w:t>
      </w:r>
      <w:r w:rsidRPr="002B1712">
        <w:rPr>
          <w:rFonts w:ascii="Arial" w:eastAsia="Calibri" w:hAnsi="Arial" w:cs="Arial"/>
          <w:b/>
          <w:bCs/>
          <w:color w:val="1F3864" w:themeColor="accent1" w:themeShade="80"/>
          <w:sz w:val="20"/>
          <w:szCs w:val="20"/>
          <w:lang w:val="en-US"/>
        </w:rPr>
        <w:t>NOTE ON THE UNHCR CO MONITORING SYSTEM</w:t>
      </w:r>
    </w:p>
    <w:p w:rsidR="00E64B6C" w:rsidRPr="002B1712" w:rsidRDefault="00E64B6C" w:rsidP="00E64B6C">
      <w:pPr>
        <w:pStyle w:val="CorpsA"/>
        <w:rPr>
          <w:rFonts w:ascii="Arial" w:eastAsia="Calibri" w:hAnsi="Arial" w:cs="Arial"/>
          <w:sz w:val="20"/>
          <w:szCs w:val="20"/>
        </w:rPr>
      </w:pPr>
    </w:p>
    <w:p w:rsidR="00E64B6C" w:rsidRPr="002B1712" w:rsidRDefault="00E64B6C" w:rsidP="00E64B6C">
      <w:pPr>
        <w:pStyle w:val="CorpsA"/>
        <w:rPr>
          <w:rFonts w:ascii="Arial" w:eastAsia="Calibri" w:hAnsi="Arial" w:cs="Arial"/>
          <w:sz w:val="20"/>
          <w:szCs w:val="20"/>
        </w:rPr>
      </w:pPr>
      <w:r w:rsidRPr="002B1712">
        <w:rPr>
          <w:rFonts w:ascii="Arial" w:eastAsia="Calibri" w:hAnsi="Arial" w:cs="Arial"/>
          <w:sz w:val="20"/>
          <w:szCs w:val="20"/>
        </w:rPr>
        <w:t xml:space="preserve">The FOCUS monitoring system used by the UNHCR CO s based on the UNHCR Framework for results, adapted to the national context and specific country operations. In summary, the goal 1900 is the most exhaustively developed, with 108 impact indicators, 45 outputs and 21 objectives divided into seven rights groups. It is followed by the goal 1202 with 62 impact indicators, 22 outputs and 15 objectives divided into six rights groups. The goals 1321 </w:t>
      </w:r>
      <w:bookmarkStart w:id="0" w:name="_GoBack"/>
      <w:bookmarkEnd w:id="0"/>
      <w:r w:rsidRPr="002B1712">
        <w:rPr>
          <w:rFonts w:ascii="Arial" w:eastAsia="Calibri" w:hAnsi="Arial" w:cs="Arial"/>
          <w:sz w:val="20"/>
          <w:szCs w:val="20"/>
        </w:rPr>
        <w:t>and 1308 have only one rights group. The goal 1308 only appears for the years 2016 and 2018.</w:t>
      </w:r>
    </w:p>
    <w:p w:rsidR="00E64B6C" w:rsidRPr="002B1712" w:rsidRDefault="00E64B6C" w:rsidP="00E64B6C">
      <w:pPr>
        <w:pStyle w:val="CorpsA"/>
        <w:rPr>
          <w:rFonts w:ascii="Arial" w:eastAsia="Calibri" w:hAnsi="Arial" w:cs="Arial"/>
          <w:sz w:val="20"/>
          <w:szCs w:val="20"/>
        </w:rPr>
      </w:pPr>
      <w:r w:rsidRPr="002B1712">
        <w:rPr>
          <w:rFonts w:ascii="Arial" w:eastAsia="Calibri" w:hAnsi="Arial" w:cs="Arial"/>
          <w:sz w:val="20"/>
          <w:szCs w:val="20"/>
        </w:rPr>
        <w:t>On average, the UNHCR CO is using around 100 monitoring indicators and, despite some efforts to reduce the number of outputs and impact indicators in 2019, the list of indicators seems still too long and complex to be efficient and easy to apply to operations and programme decision making (see annex).</w:t>
      </w:r>
    </w:p>
    <w:p w:rsidR="00E64B6C" w:rsidRPr="002B1712" w:rsidRDefault="00E64B6C" w:rsidP="00E64B6C">
      <w:pPr>
        <w:pStyle w:val="CorpsA"/>
        <w:rPr>
          <w:rFonts w:ascii="Arial" w:eastAsia="Calibri" w:hAnsi="Arial" w:cs="Arial"/>
          <w:sz w:val="20"/>
          <w:szCs w:val="20"/>
        </w:rPr>
      </w:pPr>
    </w:p>
    <w:p w:rsidR="00E64B6C" w:rsidRPr="002B1712" w:rsidRDefault="00E64B6C" w:rsidP="00E64B6C">
      <w:pPr>
        <w:pStyle w:val="CorpsA"/>
        <w:spacing w:line="276" w:lineRule="auto"/>
        <w:rPr>
          <w:rFonts w:ascii="Arial" w:eastAsia="Calibri" w:hAnsi="Arial" w:cs="Arial"/>
          <w:sz w:val="20"/>
          <w:szCs w:val="20"/>
        </w:rPr>
      </w:pPr>
      <w:r w:rsidRPr="002B1712">
        <w:rPr>
          <w:rFonts w:ascii="Arial" w:eastAsia="Calibri" w:hAnsi="Arial" w:cs="Arial"/>
          <w:b/>
          <w:bCs/>
          <w:sz w:val="20"/>
          <w:szCs w:val="20"/>
        </w:rPr>
        <w:t>Distribution by year of goals, objectives, outputs and impact indicators</w:t>
      </w:r>
    </w:p>
    <w:tbl>
      <w:tblPr>
        <w:tblW w:w="8504" w:type="dxa"/>
        <w:tblInd w:w="-1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743"/>
        <w:gridCol w:w="1690"/>
        <w:gridCol w:w="1690"/>
        <w:gridCol w:w="1691"/>
        <w:gridCol w:w="1690"/>
      </w:tblGrid>
      <w:tr w:rsidR="00E64B6C" w:rsidRPr="002B1712" w:rsidTr="006D4AB4">
        <w:trPr>
          <w:trHeight w:val="304"/>
        </w:trPr>
        <w:tc>
          <w:tcPr>
            <w:tcW w:w="1743" w:type="dxa"/>
            <w:tcBorders>
              <w:top w:val="single" w:sz="8" w:space="0" w:color="000000"/>
              <w:left w:val="nil"/>
              <w:bottom w:val="single" w:sz="8" w:space="0" w:color="000000"/>
              <w:right w:val="nil"/>
            </w:tcBorders>
            <w:shd w:val="clear" w:color="auto" w:fill="auto"/>
            <w:tcMar>
              <w:top w:w="80" w:type="dxa"/>
              <w:left w:w="80" w:type="dxa"/>
              <w:bottom w:w="80" w:type="dxa"/>
              <w:right w:w="80" w:type="dxa"/>
            </w:tcMar>
          </w:tcPr>
          <w:p w:rsidR="00E64B6C" w:rsidRPr="002B1712" w:rsidRDefault="00E64B6C" w:rsidP="006D4AB4">
            <w:pPr>
              <w:rPr>
                <w:rFonts w:ascii="Arial" w:hAnsi="Arial" w:cs="Arial"/>
                <w:sz w:val="20"/>
                <w:szCs w:val="20"/>
                <w:lang w:val="en-GB"/>
              </w:rPr>
            </w:pPr>
          </w:p>
        </w:tc>
        <w:tc>
          <w:tcPr>
            <w:tcW w:w="1690" w:type="dxa"/>
            <w:tcBorders>
              <w:top w:val="single" w:sz="8" w:space="0" w:color="000000"/>
              <w:left w:val="nil"/>
              <w:bottom w:val="single" w:sz="8" w:space="0" w:color="000000"/>
              <w:right w:val="nil"/>
            </w:tcBorders>
            <w:shd w:val="clear" w:color="auto" w:fill="auto"/>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Fonts w:ascii="Arial" w:hAnsi="Arial" w:cs="Arial"/>
                <w:b/>
                <w:bCs/>
                <w:sz w:val="20"/>
                <w:szCs w:val="20"/>
                <w:lang w:val="en-US"/>
              </w:rPr>
              <w:t>2016</w:t>
            </w:r>
          </w:p>
        </w:tc>
        <w:tc>
          <w:tcPr>
            <w:tcW w:w="1690" w:type="dxa"/>
            <w:tcBorders>
              <w:top w:val="single" w:sz="8" w:space="0" w:color="000000"/>
              <w:left w:val="nil"/>
              <w:bottom w:val="single" w:sz="8" w:space="0" w:color="000000"/>
              <w:right w:val="nil"/>
            </w:tcBorders>
            <w:shd w:val="clear" w:color="auto" w:fill="auto"/>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Fonts w:ascii="Arial" w:hAnsi="Arial" w:cs="Arial"/>
                <w:b/>
                <w:bCs/>
                <w:sz w:val="20"/>
                <w:szCs w:val="20"/>
                <w:lang w:val="en-US"/>
              </w:rPr>
              <w:t>2017</w:t>
            </w:r>
          </w:p>
        </w:tc>
        <w:tc>
          <w:tcPr>
            <w:tcW w:w="1691" w:type="dxa"/>
            <w:tcBorders>
              <w:top w:val="single" w:sz="8" w:space="0" w:color="000000"/>
              <w:left w:val="nil"/>
              <w:bottom w:val="single" w:sz="8" w:space="0" w:color="000000"/>
              <w:right w:val="nil"/>
            </w:tcBorders>
            <w:shd w:val="clear" w:color="auto" w:fill="auto"/>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Fonts w:ascii="Arial" w:hAnsi="Arial" w:cs="Arial"/>
                <w:b/>
                <w:bCs/>
                <w:sz w:val="20"/>
                <w:szCs w:val="20"/>
                <w:lang w:val="en-US"/>
              </w:rPr>
              <w:t>2018</w:t>
            </w:r>
          </w:p>
        </w:tc>
        <w:tc>
          <w:tcPr>
            <w:tcW w:w="1690" w:type="dxa"/>
            <w:tcBorders>
              <w:top w:val="single" w:sz="8" w:space="0" w:color="000000"/>
              <w:left w:val="nil"/>
              <w:bottom w:val="single" w:sz="8" w:space="0" w:color="000000"/>
              <w:right w:val="nil"/>
            </w:tcBorders>
            <w:shd w:val="clear" w:color="auto" w:fill="auto"/>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Fonts w:ascii="Arial" w:hAnsi="Arial" w:cs="Arial"/>
                <w:b/>
                <w:bCs/>
                <w:sz w:val="20"/>
                <w:szCs w:val="20"/>
                <w:lang w:val="en-US"/>
              </w:rPr>
              <w:t>2019</w:t>
            </w:r>
          </w:p>
        </w:tc>
      </w:tr>
      <w:tr w:rsidR="00E64B6C" w:rsidRPr="002B1712" w:rsidTr="006D4AB4">
        <w:trPr>
          <w:trHeight w:val="370"/>
        </w:trPr>
        <w:tc>
          <w:tcPr>
            <w:tcW w:w="1743" w:type="dxa"/>
            <w:tcBorders>
              <w:top w:val="single" w:sz="8" w:space="0" w:color="000000"/>
              <w:left w:val="nil"/>
              <w:bottom w:val="nil"/>
              <w:right w:val="nil"/>
            </w:tcBorders>
            <w:shd w:val="clear" w:color="auto" w:fill="C0C0C0"/>
            <w:tcMar>
              <w:top w:w="80" w:type="dxa"/>
              <w:left w:w="80" w:type="dxa"/>
              <w:bottom w:w="80" w:type="dxa"/>
              <w:right w:w="80" w:type="dxa"/>
            </w:tcMar>
          </w:tcPr>
          <w:p w:rsidR="00E64B6C" w:rsidRPr="002B1712" w:rsidRDefault="00E64B6C" w:rsidP="006D4AB4">
            <w:pPr>
              <w:pStyle w:val="Prrafodelista"/>
              <w:spacing w:after="0" w:line="240" w:lineRule="auto"/>
              <w:ind w:left="0"/>
              <w:rPr>
                <w:rFonts w:ascii="Arial" w:hAnsi="Arial" w:cs="Arial"/>
                <w:sz w:val="20"/>
                <w:szCs w:val="20"/>
              </w:rPr>
            </w:pPr>
            <w:r w:rsidRPr="002B1712">
              <w:rPr>
                <w:rFonts w:ascii="Arial" w:hAnsi="Arial" w:cs="Arial"/>
                <w:b/>
                <w:bCs/>
                <w:sz w:val="20"/>
                <w:szCs w:val="20"/>
                <w:lang w:val="en-US"/>
              </w:rPr>
              <w:t>Goal</w:t>
            </w:r>
          </w:p>
        </w:tc>
        <w:tc>
          <w:tcPr>
            <w:tcW w:w="1690" w:type="dxa"/>
            <w:tcBorders>
              <w:top w:val="single" w:sz="8" w:space="0" w:color="000000"/>
              <w:left w:val="nil"/>
              <w:bottom w:val="nil"/>
              <w:right w:val="nil"/>
            </w:tcBorders>
            <w:shd w:val="clear" w:color="auto" w:fill="C0C0C0"/>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Style w:val="AucunA"/>
                <w:rFonts w:ascii="Arial" w:hAnsi="Arial" w:cs="Arial"/>
                <w:sz w:val="20"/>
                <w:szCs w:val="20"/>
              </w:rPr>
              <w:t>4</w:t>
            </w:r>
          </w:p>
        </w:tc>
        <w:tc>
          <w:tcPr>
            <w:tcW w:w="1690" w:type="dxa"/>
            <w:tcBorders>
              <w:top w:val="single" w:sz="8" w:space="0" w:color="000000"/>
              <w:left w:val="nil"/>
              <w:bottom w:val="nil"/>
              <w:right w:val="nil"/>
            </w:tcBorders>
            <w:shd w:val="clear" w:color="auto" w:fill="C0C0C0"/>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Style w:val="AucunA"/>
                <w:rFonts w:ascii="Arial" w:hAnsi="Arial" w:cs="Arial"/>
                <w:sz w:val="20"/>
                <w:szCs w:val="20"/>
              </w:rPr>
              <w:t>3</w:t>
            </w:r>
          </w:p>
        </w:tc>
        <w:tc>
          <w:tcPr>
            <w:tcW w:w="1691" w:type="dxa"/>
            <w:tcBorders>
              <w:top w:val="single" w:sz="8" w:space="0" w:color="000000"/>
              <w:left w:val="nil"/>
              <w:bottom w:val="nil"/>
              <w:right w:val="nil"/>
            </w:tcBorders>
            <w:shd w:val="clear" w:color="auto" w:fill="C0C0C0"/>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Style w:val="AucunA"/>
                <w:rFonts w:ascii="Arial" w:hAnsi="Arial" w:cs="Arial"/>
                <w:sz w:val="20"/>
                <w:szCs w:val="20"/>
              </w:rPr>
              <w:t>4</w:t>
            </w:r>
          </w:p>
        </w:tc>
        <w:tc>
          <w:tcPr>
            <w:tcW w:w="1690" w:type="dxa"/>
            <w:tcBorders>
              <w:top w:val="single" w:sz="8" w:space="0" w:color="000000"/>
              <w:left w:val="nil"/>
              <w:bottom w:val="nil"/>
              <w:right w:val="nil"/>
            </w:tcBorders>
            <w:shd w:val="clear" w:color="auto" w:fill="C0C0C0"/>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Style w:val="AucunA"/>
                <w:rFonts w:ascii="Arial" w:hAnsi="Arial" w:cs="Arial"/>
                <w:sz w:val="20"/>
                <w:szCs w:val="20"/>
              </w:rPr>
              <w:t>3</w:t>
            </w:r>
          </w:p>
        </w:tc>
      </w:tr>
      <w:tr w:rsidR="00E64B6C" w:rsidRPr="002B1712" w:rsidTr="006D4AB4">
        <w:trPr>
          <w:trHeight w:val="280"/>
        </w:trPr>
        <w:tc>
          <w:tcPr>
            <w:tcW w:w="1743" w:type="dxa"/>
            <w:tcBorders>
              <w:top w:val="nil"/>
              <w:left w:val="nil"/>
              <w:bottom w:val="nil"/>
              <w:right w:val="nil"/>
            </w:tcBorders>
            <w:shd w:val="clear" w:color="auto" w:fill="auto"/>
            <w:tcMar>
              <w:top w:w="80" w:type="dxa"/>
              <w:left w:w="80" w:type="dxa"/>
              <w:bottom w:w="80" w:type="dxa"/>
              <w:right w:w="80" w:type="dxa"/>
            </w:tcMar>
          </w:tcPr>
          <w:p w:rsidR="00E64B6C" w:rsidRPr="002B1712" w:rsidRDefault="00E64B6C" w:rsidP="006D4AB4">
            <w:pPr>
              <w:pStyle w:val="Prrafodelista"/>
              <w:spacing w:after="0" w:line="240" w:lineRule="auto"/>
              <w:ind w:left="0"/>
              <w:rPr>
                <w:rFonts w:ascii="Arial" w:hAnsi="Arial" w:cs="Arial"/>
                <w:sz w:val="20"/>
                <w:szCs w:val="20"/>
              </w:rPr>
            </w:pPr>
            <w:r w:rsidRPr="002B1712">
              <w:rPr>
                <w:rFonts w:ascii="Arial" w:hAnsi="Arial" w:cs="Arial"/>
                <w:b/>
                <w:bCs/>
                <w:sz w:val="20"/>
                <w:szCs w:val="20"/>
                <w:lang w:val="en-US"/>
              </w:rPr>
              <w:t>Rights Group</w:t>
            </w:r>
          </w:p>
        </w:tc>
        <w:tc>
          <w:tcPr>
            <w:tcW w:w="1690" w:type="dxa"/>
            <w:tcBorders>
              <w:top w:val="nil"/>
              <w:left w:val="nil"/>
              <w:bottom w:val="nil"/>
              <w:right w:val="nil"/>
            </w:tcBorders>
            <w:shd w:val="clear" w:color="auto" w:fill="auto"/>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Style w:val="AucunA"/>
                <w:rFonts w:ascii="Arial" w:hAnsi="Arial" w:cs="Arial"/>
                <w:sz w:val="20"/>
                <w:szCs w:val="20"/>
              </w:rPr>
              <w:t>15</w:t>
            </w:r>
          </w:p>
        </w:tc>
        <w:tc>
          <w:tcPr>
            <w:tcW w:w="1690" w:type="dxa"/>
            <w:tcBorders>
              <w:top w:val="nil"/>
              <w:left w:val="nil"/>
              <w:bottom w:val="nil"/>
              <w:right w:val="nil"/>
            </w:tcBorders>
            <w:shd w:val="clear" w:color="auto" w:fill="auto"/>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Style w:val="AucunA"/>
                <w:rFonts w:ascii="Arial" w:hAnsi="Arial" w:cs="Arial"/>
                <w:sz w:val="20"/>
                <w:szCs w:val="20"/>
              </w:rPr>
              <w:t>14</w:t>
            </w:r>
          </w:p>
        </w:tc>
        <w:tc>
          <w:tcPr>
            <w:tcW w:w="1691" w:type="dxa"/>
            <w:tcBorders>
              <w:top w:val="nil"/>
              <w:left w:val="nil"/>
              <w:bottom w:val="nil"/>
              <w:right w:val="nil"/>
            </w:tcBorders>
            <w:shd w:val="clear" w:color="auto" w:fill="auto"/>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Style w:val="AucunA"/>
                <w:rFonts w:ascii="Arial" w:hAnsi="Arial" w:cs="Arial"/>
                <w:sz w:val="20"/>
                <w:szCs w:val="20"/>
              </w:rPr>
              <w:t>15</w:t>
            </w:r>
          </w:p>
        </w:tc>
        <w:tc>
          <w:tcPr>
            <w:tcW w:w="1690" w:type="dxa"/>
            <w:tcBorders>
              <w:top w:val="nil"/>
              <w:left w:val="nil"/>
              <w:bottom w:val="nil"/>
              <w:right w:val="nil"/>
            </w:tcBorders>
            <w:shd w:val="clear" w:color="auto" w:fill="auto"/>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Style w:val="AucunA"/>
                <w:rFonts w:ascii="Arial" w:hAnsi="Arial" w:cs="Arial"/>
                <w:sz w:val="20"/>
                <w:szCs w:val="20"/>
              </w:rPr>
              <w:t>14</w:t>
            </w:r>
          </w:p>
        </w:tc>
      </w:tr>
      <w:tr w:rsidR="00E64B6C" w:rsidRPr="002B1712" w:rsidTr="006D4AB4">
        <w:trPr>
          <w:trHeight w:val="280"/>
        </w:trPr>
        <w:tc>
          <w:tcPr>
            <w:tcW w:w="1743" w:type="dxa"/>
            <w:tcBorders>
              <w:top w:val="nil"/>
              <w:left w:val="nil"/>
              <w:bottom w:val="nil"/>
              <w:right w:val="nil"/>
            </w:tcBorders>
            <w:shd w:val="clear" w:color="auto" w:fill="C0C0C0"/>
            <w:tcMar>
              <w:top w:w="80" w:type="dxa"/>
              <w:left w:w="80" w:type="dxa"/>
              <w:bottom w:w="80" w:type="dxa"/>
              <w:right w:w="80" w:type="dxa"/>
            </w:tcMar>
          </w:tcPr>
          <w:p w:rsidR="00E64B6C" w:rsidRPr="002B1712" w:rsidRDefault="00E64B6C" w:rsidP="006D4AB4">
            <w:pPr>
              <w:pStyle w:val="Prrafodelista"/>
              <w:spacing w:after="0" w:line="240" w:lineRule="auto"/>
              <w:ind w:left="0"/>
              <w:rPr>
                <w:rFonts w:ascii="Arial" w:hAnsi="Arial" w:cs="Arial"/>
                <w:sz w:val="20"/>
                <w:szCs w:val="20"/>
              </w:rPr>
            </w:pPr>
            <w:r w:rsidRPr="002B1712">
              <w:rPr>
                <w:rFonts w:ascii="Arial" w:hAnsi="Arial" w:cs="Arial"/>
                <w:b/>
                <w:bCs/>
                <w:sz w:val="20"/>
                <w:szCs w:val="20"/>
                <w:lang w:val="en-US"/>
              </w:rPr>
              <w:t>Objective</w:t>
            </w:r>
          </w:p>
        </w:tc>
        <w:tc>
          <w:tcPr>
            <w:tcW w:w="1690" w:type="dxa"/>
            <w:tcBorders>
              <w:top w:val="nil"/>
              <w:left w:val="nil"/>
              <w:bottom w:val="nil"/>
              <w:right w:val="nil"/>
            </w:tcBorders>
            <w:shd w:val="clear" w:color="auto" w:fill="C0C0C0"/>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Style w:val="AucunA"/>
                <w:rFonts w:ascii="Arial" w:hAnsi="Arial" w:cs="Arial"/>
                <w:sz w:val="20"/>
                <w:szCs w:val="20"/>
              </w:rPr>
              <w:t>30</w:t>
            </w:r>
          </w:p>
        </w:tc>
        <w:tc>
          <w:tcPr>
            <w:tcW w:w="1690" w:type="dxa"/>
            <w:tcBorders>
              <w:top w:val="nil"/>
              <w:left w:val="nil"/>
              <w:bottom w:val="nil"/>
              <w:right w:val="nil"/>
            </w:tcBorders>
            <w:shd w:val="clear" w:color="auto" w:fill="C0C0C0"/>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Style w:val="AucunA"/>
                <w:rFonts w:ascii="Arial" w:hAnsi="Arial" w:cs="Arial"/>
                <w:sz w:val="20"/>
                <w:szCs w:val="20"/>
              </w:rPr>
              <w:t>32</w:t>
            </w:r>
          </w:p>
        </w:tc>
        <w:tc>
          <w:tcPr>
            <w:tcW w:w="1691" w:type="dxa"/>
            <w:tcBorders>
              <w:top w:val="nil"/>
              <w:left w:val="nil"/>
              <w:bottom w:val="nil"/>
              <w:right w:val="nil"/>
            </w:tcBorders>
            <w:shd w:val="clear" w:color="auto" w:fill="C0C0C0"/>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Style w:val="AucunA"/>
                <w:rFonts w:ascii="Arial" w:hAnsi="Arial" w:cs="Arial"/>
                <w:sz w:val="20"/>
                <w:szCs w:val="20"/>
              </w:rPr>
              <w:t>32</w:t>
            </w:r>
          </w:p>
        </w:tc>
        <w:tc>
          <w:tcPr>
            <w:tcW w:w="1690" w:type="dxa"/>
            <w:tcBorders>
              <w:top w:val="nil"/>
              <w:left w:val="nil"/>
              <w:bottom w:val="nil"/>
              <w:right w:val="nil"/>
            </w:tcBorders>
            <w:shd w:val="clear" w:color="auto" w:fill="C0C0C0"/>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Style w:val="AucunA"/>
                <w:rFonts w:ascii="Arial" w:hAnsi="Arial" w:cs="Arial"/>
                <w:sz w:val="20"/>
                <w:szCs w:val="20"/>
              </w:rPr>
              <w:t>29</w:t>
            </w:r>
          </w:p>
        </w:tc>
      </w:tr>
      <w:tr w:rsidR="00E64B6C" w:rsidRPr="002B1712" w:rsidTr="006D4AB4">
        <w:trPr>
          <w:trHeight w:val="280"/>
        </w:trPr>
        <w:tc>
          <w:tcPr>
            <w:tcW w:w="1743" w:type="dxa"/>
            <w:tcBorders>
              <w:top w:val="nil"/>
              <w:left w:val="nil"/>
              <w:bottom w:val="nil"/>
              <w:right w:val="nil"/>
            </w:tcBorders>
            <w:shd w:val="clear" w:color="auto" w:fill="auto"/>
            <w:tcMar>
              <w:top w:w="80" w:type="dxa"/>
              <w:left w:w="80" w:type="dxa"/>
              <w:bottom w:w="80" w:type="dxa"/>
              <w:right w:w="80" w:type="dxa"/>
            </w:tcMar>
          </w:tcPr>
          <w:p w:rsidR="00E64B6C" w:rsidRPr="002B1712" w:rsidRDefault="00E64B6C" w:rsidP="006D4AB4">
            <w:pPr>
              <w:pStyle w:val="Prrafodelista"/>
              <w:spacing w:after="0" w:line="240" w:lineRule="auto"/>
              <w:ind w:left="0"/>
              <w:rPr>
                <w:rFonts w:ascii="Arial" w:hAnsi="Arial" w:cs="Arial"/>
                <w:sz w:val="20"/>
                <w:szCs w:val="20"/>
              </w:rPr>
            </w:pPr>
            <w:r w:rsidRPr="002B1712">
              <w:rPr>
                <w:rFonts w:ascii="Arial" w:hAnsi="Arial" w:cs="Arial"/>
                <w:b/>
                <w:bCs/>
                <w:sz w:val="20"/>
                <w:szCs w:val="20"/>
                <w:lang w:val="en-US"/>
              </w:rPr>
              <w:t>Output</w:t>
            </w:r>
          </w:p>
        </w:tc>
        <w:tc>
          <w:tcPr>
            <w:tcW w:w="1690" w:type="dxa"/>
            <w:tcBorders>
              <w:top w:val="nil"/>
              <w:left w:val="nil"/>
              <w:bottom w:val="nil"/>
              <w:right w:val="nil"/>
            </w:tcBorders>
            <w:shd w:val="clear" w:color="auto" w:fill="auto"/>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Style w:val="AucunA"/>
                <w:rFonts w:ascii="Arial" w:hAnsi="Arial" w:cs="Arial"/>
                <w:sz w:val="20"/>
                <w:szCs w:val="20"/>
              </w:rPr>
              <w:t>51</w:t>
            </w:r>
          </w:p>
        </w:tc>
        <w:tc>
          <w:tcPr>
            <w:tcW w:w="1690" w:type="dxa"/>
            <w:tcBorders>
              <w:top w:val="nil"/>
              <w:left w:val="nil"/>
              <w:bottom w:val="nil"/>
              <w:right w:val="nil"/>
            </w:tcBorders>
            <w:shd w:val="clear" w:color="auto" w:fill="auto"/>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Style w:val="AucunA"/>
                <w:rFonts w:ascii="Arial" w:hAnsi="Arial" w:cs="Arial"/>
                <w:sz w:val="20"/>
                <w:szCs w:val="20"/>
              </w:rPr>
              <w:t>51</w:t>
            </w:r>
          </w:p>
        </w:tc>
        <w:tc>
          <w:tcPr>
            <w:tcW w:w="1691" w:type="dxa"/>
            <w:tcBorders>
              <w:top w:val="nil"/>
              <w:left w:val="nil"/>
              <w:bottom w:val="nil"/>
              <w:right w:val="nil"/>
            </w:tcBorders>
            <w:shd w:val="clear" w:color="auto" w:fill="auto"/>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Style w:val="AucunA"/>
                <w:rFonts w:ascii="Arial" w:hAnsi="Arial" w:cs="Arial"/>
                <w:sz w:val="20"/>
                <w:szCs w:val="20"/>
              </w:rPr>
              <w:t>50</w:t>
            </w:r>
          </w:p>
        </w:tc>
        <w:tc>
          <w:tcPr>
            <w:tcW w:w="1690" w:type="dxa"/>
            <w:tcBorders>
              <w:top w:val="nil"/>
              <w:left w:val="nil"/>
              <w:bottom w:val="nil"/>
              <w:right w:val="nil"/>
            </w:tcBorders>
            <w:shd w:val="clear" w:color="auto" w:fill="auto"/>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Style w:val="AucunA"/>
                <w:rFonts w:ascii="Arial" w:hAnsi="Arial" w:cs="Arial"/>
                <w:sz w:val="20"/>
                <w:szCs w:val="20"/>
              </w:rPr>
              <w:t>41</w:t>
            </w:r>
          </w:p>
        </w:tc>
      </w:tr>
      <w:tr w:rsidR="00E64B6C" w:rsidRPr="002B1712" w:rsidTr="006D4AB4">
        <w:trPr>
          <w:trHeight w:val="218"/>
        </w:trPr>
        <w:tc>
          <w:tcPr>
            <w:tcW w:w="1743" w:type="dxa"/>
            <w:tcBorders>
              <w:top w:val="nil"/>
              <w:left w:val="nil"/>
              <w:bottom w:val="single" w:sz="8" w:space="0" w:color="000000"/>
              <w:right w:val="nil"/>
            </w:tcBorders>
            <w:shd w:val="clear" w:color="auto" w:fill="C0C0C0"/>
            <w:tcMar>
              <w:top w:w="80" w:type="dxa"/>
              <w:left w:w="80" w:type="dxa"/>
              <w:bottom w:w="80" w:type="dxa"/>
              <w:right w:w="80" w:type="dxa"/>
            </w:tcMar>
          </w:tcPr>
          <w:p w:rsidR="00E64B6C" w:rsidRPr="002B1712" w:rsidRDefault="00E64B6C" w:rsidP="006D4AB4">
            <w:pPr>
              <w:pStyle w:val="Prrafodelista"/>
              <w:spacing w:after="0" w:line="240" w:lineRule="auto"/>
              <w:ind w:left="0"/>
              <w:rPr>
                <w:rFonts w:ascii="Arial" w:hAnsi="Arial" w:cs="Arial"/>
                <w:sz w:val="20"/>
                <w:szCs w:val="20"/>
              </w:rPr>
            </w:pPr>
            <w:r w:rsidRPr="002B1712">
              <w:rPr>
                <w:rFonts w:ascii="Arial" w:hAnsi="Arial" w:cs="Arial"/>
                <w:b/>
                <w:bCs/>
                <w:sz w:val="20"/>
                <w:szCs w:val="20"/>
                <w:lang w:val="en-US"/>
              </w:rPr>
              <w:t>Indicator impact</w:t>
            </w:r>
          </w:p>
        </w:tc>
        <w:tc>
          <w:tcPr>
            <w:tcW w:w="1690" w:type="dxa"/>
            <w:tcBorders>
              <w:top w:val="nil"/>
              <w:left w:val="nil"/>
              <w:bottom w:val="single" w:sz="8" w:space="0" w:color="000000"/>
              <w:right w:val="nil"/>
            </w:tcBorders>
            <w:shd w:val="clear" w:color="auto" w:fill="C0C0C0"/>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Fonts w:ascii="Arial" w:hAnsi="Arial" w:cs="Arial"/>
                <w:b/>
                <w:bCs/>
                <w:sz w:val="20"/>
                <w:szCs w:val="20"/>
                <w:lang w:val="en-US"/>
              </w:rPr>
              <w:t>120</w:t>
            </w:r>
          </w:p>
        </w:tc>
        <w:tc>
          <w:tcPr>
            <w:tcW w:w="1690" w:type="dxa"/>
            <w:tcBorders>
              <w:top w:val="nil"/>
              <w:left w:val="nil"/>
              <w:bottom w:val="single" w:sz="8" w:space="0" w:color="000000"/>
              <w:right w:val="nil"/>
            </w:tcBorders>
            <w:shd w:val="clear" w:color="auto" w:fill="C0C0C0"/>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Fonts w:ascii="Arial" w:hAnsi="Arial" w:cs="Arial"/>
                <w:b/>
                <w:bCs/>
                <w:sz w:val="20"/>
                <w:szCs w:val="20"/>
                <w:lang w:val="en-US"/>
              </w:rPr>
              <w:t>121</w:t>
            </w:r>
          </w:p>
        </w:tc>
        <w:tc>
          <w:tcPr>
            <w:tcW w:w="1691" w:type="dxa"/>
            <w:tcBorders>
              <w:top w:val="nil"/>
              <w:left w:val="nil"/>
              <w:bottom w:val="single" w:sz="8" w:space="0" w:color="000000"/>
              <w:right w:val="nil"/>
            </w:tcBorders>
            <w:shd w:val="clear" w:color="auto" w:fill="C0C0C0"/>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Fonts w:ascii="Arial" w:hAnsi="Arial" w:cs="Arial"/>
                <w:b/>
                <w:bCs/>
                <w:sz w:val="20"/>
                <w:szCs w:val="20"/>
                <w:lang w:val="en-US"/>
              </w:rPr>
              <w:t>114</w:t>
            </w:r>
          </w:p>
        </w:tc>
        <w:tc>
          <w:tcPr>
            <w:tcW w:w="1690" w:type="dxa"/>
            <w:tcBorders>
              <w:top w:val="nil"/>
              <w:left w:val="nil"/>
              <w:bottom w:val="single" w:sz="8" w:space="0" w:color="000000"/>
              <w:right w:val="nil"/>
            </w:tcBorders>
            <w:shd w:val="clear" w:color="auto" w:fill="C0C0C0"/>
            <w:tcMar>
              <w:top w:w="80" w:type="dxa"/>
              <w:left w:w="80" w:type="dxa"/>
              <w:bottom w:w="80" w:type="dxa"/>
              <w:right w:w="80" w:type="dxa"/>
            </w:tcMar>
          </w:tcPr>
          <w:p w:rsidR="00E64B6C" w:rsidRPr="002B1712" w:rsidRDefault="00E64B6C" w:rsidP="006D4AB4">
            <w:pPr>
              <w:pStyle w:val="Prrafodelista"/>
              <w:spacing w:after="0" w:line="240" w:lineRule="auto"/>
              <w:ind w:left="0"/>
              <w:jc w:val="right"/>
              <w:rPr>
                <w:rFonts w:ascii="Arial" w:hAnsi="Arial" w:cs="Arial"/>
                <w:sz w:val="20"/>
                <w:szCs w:val="20"/>
              </w:rPr>
            </w:pPr>
            <w:r w:rsidRPr="002B1712">
              <w:rPr>
                <w:rFonts w:ascii="Arial" w:hAnsi="Arial" w:cs="Arial"/>
                <w:b/>
                <w:bCs/>
                <w:sz w:val="20"/>
                <w:szCs w:val="20"/>
                <w:lang w:val="en-US"/>
              </w:rPr>
              <w:t>100</w:t>
            </w:r>
          </w:p>
        </w:tc>
      </w:tr>
    </w:tbl>
    <w:p w:rsidR="00E64B6C" w:rsidRPr="002B1712" w:rsidRDefault="00E64B6C" w:rsidP="00E64B6C">
      <w:pPr>
        <w:pStyle w:val="CorpsA"/>
        <w:widowControl w:val="0"/>
        <w:ind w:left="540" w:hanging="540"/>
        <w:rPr>
          <w:rFonts w:ascii="Arial" w:eastAsia="Calibri" w:hAnsi="Arial" w:cs="Arial"/>
          <w:sz w:val="20"/>
          <w:szCs w:val="20"/>
        </w:rPr>
      </w:pPr>
    </w:p>
    <w:p w:rsidR="00E64B6C" w:rsidRPr="002B1712" w:rsidRDefault="00E64B6C" w:rsidP="00E64B6C">
      <w:pPr>
        <w:pStyle w:val="CorpsA"/>
        <w:rPr>
          <w:rFonts w:ascii="Arial" w:eastAsia="Calibri" w:hAnsi="Arial" w:cs="Arial"/>
          <w:sz w:val="20"/>
          <w:szCs w:val="20"/>
        </w:rPr>
      </w:pPr>
    </w:p>
    <w:p w:rsidR="00E64B6C" w:rsidRPr="002B1712" w:rsidRDefault="00E64B6C" w:rsidP="00E64B6C">
      <w:pPr>
        <w:pStyle w:val="CorpsA"/>
        <w:rPr>
          <w:rFonts w:ascii="Arial" w:eastAsia="Calibri" w:hAnsi="Arial" w:cs="Arial"/>
          <w:sz w:val="20"/>
          <w:szCs w:val="20"/>
        </w:rPr>
      </w:pPr>
      <w:r w:rsidRPr="002B1712">
        <w:rPr>
          <w:rFonts w:ascii="Arial" w:eastAsia="Calibri" w:hAnsi="Arial" w:cs="Arial"/>
          <w:sz w:val="20"/>
          <w:szCs w:val="20"/>
        </w:rPr>
        <w:t>Although the evaluation team has not carried out an exhaustive revision of the overall UNHCR results framework and UNHCR CO monitoring system, four major considerations can be drawn:</w:t>
      </w:r>
    </w:p>
    <w:p w:rsidR="00E64B6C" w:rsidRPr="002B1712" w:rsidRDefault="00E64B6C" w:rsidP="00E64B6C">
      <w:pPr>
        <w:pStyle w:val="Prrafodelista"/>
        <w:numPr>
          <w:ilvl w:val="0"/>
          <w:numId w:val="2"/>
        </w:numPr>
        <w:spacing w:after="0" w:line="240" w:lineRule="auto"/>
        <w:rPr>
          <w:rStyle w:val="AucunA"/>
          <w:rFonts w:ascii="Arial" w:hAnsi="Arial" w:cs="Arial"/>
          <w:sz w:val="20"/>
          <w:szCs w:val="20"/>
        </w:rPr>
      </w:pPr>
      <w:r w:rsidRPr="002B1712">
        <w:rPr>
          <w:rStyle w:val="AucunA"/>
          <w:rFonts w:ascii="Arial" w:hAnsi="Arial" w:cs="Arial"/>
          <w:sz w:val="20"/>
          <w:szCs w:val="20"/>
        </w:rPr>
        <w:t>The diversity and the large number of indicators make the monitoring system difficult to manage (probably demanding relevant time efforts to fulfil), hindering its effective use and limiting strategic and programmatic decision-making based on sound data.</w:t>
      </w:r>
    </w:p>
    <w:p w:rsidR="00E64B6C" w:rsidRPr="002B1712" w:rsidRDefault="00E64B6C" w:rsidP="00E64B6C">
      <w:pPr>
        <w:pStyle w:val="Prrafodelista"/>
        <w:numPr>
          <w:ilvl w:val="0"/>
          <w:numId w:val="2"/>
        </w:numPr>
        <w:spacing w:after="0" w:line="240" w:lineRule="auto"/>
        <w:rPr>
          <w:rStyle w:val="AucunA"/>
          <w:rFonts w:ascii="Arial" w:hAnsi="Arial" w:cs="Arial"/>
          <w:sz w:val="20"/>
          <w:szCs w:val="20"/>
        </w:rPr>
      </w:pPr>
      <w:r w:rsidRPr="002B1712">
        <w:rPr>
          <w:rStyle w:val="AucunA"/>
          <w:rFonts w:ascii="Arial" w:hAnsi="Arial" w:cs="Arial"/>
          <w:sz w:val="20"/>
          <w:szCs w:val="20"/>
        </w:rPr>
        <w:t>The use of the same indicators under different Goals (1900, 1321, 1202, 1308) and Rights groups (Basic Needs and Essential Services; Community Empowerment and Self Reliance; Durable Solutions, etc) is confusing and does not seem to contribute to more precision in the assessment of outcomes.</w:t>
      </w:r>
    </w:p>
    <w:p w:rsidR="00E64B6C" w:rsidRPr="002B1712" w:rsidRDefault="00E64B6C" w:rsidP="00E64B6C">
      <w:pPr>
        <w:pStyle w:val="Prrafodelista"/>
        <w:numPr>
          <w:ilvl w:val="0"/>
          <w:numId w:val="2"/>
        </w:numPr>
        <w:spacing w:after="0" w:line="240" w:lineRule="auto"/>
        <w:rPr>
          <w:rStyle w:val="AucunA"/>
          <w:rFonts w:ascii="Arial" w:hAnsi="Arial" w:cs="Arial"/>
          <w:sz w:val="20"/>
          <w:szCs w:val="20"/>
        </w:rPr>
      </w:pPr>
      <w:r w:rsidRPr="002B1712">
        <w:rPr>
          <w:rStyle w:val="AucunA"/>
          <w:rFonts w:ascii="Arial" w:hAnsi="Arial" w:cs="Arial"/>
          <w:sz w:val="20"/>
          <w:szCs w:val="20"/>
        </w:rPr>
        <w:t>The annual planning and monitoring system of UNHCR activities, although justified by budgetary factors and the operational pressure resulting from responses to crisis, is not adapted to more stable contexts and capacity building interventions. This is particularly visible in contexts where the UNHCR envisages a long-term support to build a national asylum system. Additionally, annual planning and monitoring make it difficult to carry out strategic analysis requiring, in many cases, analysis of patterns or trends in the medium term.</w:t>
      </w:r>
    </w:p>
    <w:p w:rsidR="00E64B6C" w:rsidRPr="002B1712" w:rsidRDefault="00E64B6C" w:rsidP="00E64B6C">
      <w:pPr>
        <w:pStyle w:val="Prrafodelista"/>
        <w:numPr>
          <w:ilvl w:val="0"/>
          <w:numId w:val="2"/>
        </w:numPr>
        <w:spacing w:after="0" w:line="240" w:lineRule="auto"/>
        <w:rPr>
          <w:rStyle w:val="AucunA"/>
          <w:rFonts w:ascii="Arial" w:hAnsi="Arial" w:cs="Arial"/>
          <w:sz w:val="20"/>
          <w:szCs w:val="20"/>
        </w:rPr>
      </w:pPr>
      <w:r w:rsidRPr="002B1712">
        <w:rPr>
          <w:rStyle w:val="AucunA"/>
          <w:rFonts w:ascii="Arial" w:hAnsi="Arial" w:cs="Arial"/>
          <w:sz w:val="20"/>
          <w:szCs w:val="20"/>
        </w:rPr>
        <w:t>The formulation and comprehension of some indicators may be subject to different interpretations, so a more precise definition or construction of the indicator should be required.</w:t>
      </w:r>
    </w:p>
    <w:p w:rsidR="00EC5B91" w:rsidRPr="002B1712" w:rsidRDefault="00EC5B91">
      <w:pPr>
        <w:spacing w:after="0" w:line="240" w:lineRule="auto"/>
        <w:rPr>
          <w:rFonts w:ascii="Arial" w:hAnsi="Arial" w:cs="Arial"/>
          <w:sz w:val="20"/>
          <w:szCs w:val="20"/>
          <w:lang w:val="en-US"/>
        </w:rPr>
      </w:pPr>
      <w:r w:rsidRPr="002B1712">
        <w:rPr>
          <w:rFonts w:ascii="Arial" w:hAnsi="Arial" w:cs="Arial"/>
          <w:sz w:val="20"/>
          <w:szCs w:val="20"/>
          <w:lang w:val="en-US"/>
        </w:rPr>
        <w:br w:type="page"/>
      </w:r>
    </w:p>
    <w:p w:rsidR="00EC5B91" w:rsidRPr="002B1712" w:rsidRDefault="00EC5B91" w:rsidP="00EC5B91">
      <w:pPr>
        <w:rPr>
          <w:rFonts w:ascii="Arial" w:hAnsi="Arial" w:cs="Arial"/>
          <w:color w:val="000000"/>
          <w:sz w:val="20"/>
          <w:szCs w:val="20"/>
          <w:lang w:val="en-GB"/>
        </w:rPr>
      </w:pPr>
    </w:p>
    <w:p w:rsidR="00EC5B91" w:rsidRPr="002B1712" w:rsidRDefault="00EC5B91" w:rsidP="00EC5B91">
      <w:pPr>
        <w:rPr>
          <w:rFonts w:ascii="Arial" w:hAnsi="Arial" w:cs="Arial"/>
          <w:color w:val="000000"/>
          <w:sz w:val="20"/>
          <w:szCs w:val="20"/>
          <w:lang w:val="en-GB"/>
        </w:rPr>
      </w:pPr>
      <w:r w:rsidRPr="002B1712">
        <w:rPr>
          <w:rFonts w:ascii="Arial" w:hAnsi="Arial" w:cs="Arial"/>
          <w:color w:val="000000"/>
          <w:sz w:val="20"/>
          <w:szCs w:val="20"/>
          <w:lang w:val="en-GB"/>
        </w:rPr>
        <w:t>The analysis of the UNHCR CO monitoring structure (based on FOCUS) is presented in the following tables.</w:t>
      </w:r>
    </w:p>
    <w:p w:rsidR="00EC5B91" w:rsidRPr="002B1712" w:rsidRDefault="00EC5B91" w:rsidP="00EC5B91">
      <w:pPr>
        <w:rPr>
          <w:rFonts w:ascii="Arial" w:hAnsi="Arial" w:cs="Arial"/>
          <w:color w:val="000000"/>
          <w:sz w:val="20"/>
          <w:szCs w:val="20"/>
          <w:lang w:val="en-GB"/>
        </w:rPr>
      </w:pPr>
    </w:p>
    <w:p w:rsidR="00EC5B91" w:rsidRPr="002B1712" w:rsidRDefault="00EC5B91" w:rsidP="00EC5B91">
      <w:pPr>
        <w:spacing w:line="276" w:lineRule="auto"/>
        <w:rPr>
          <w:rFonts w:ascii="Arial" w:hAnsi="Arial" w:cs="Arial"/>
          <w:b/>
          <w:color w:val="000000"/>
          <w:sz w:val="20"/>
          <w:szCs w:val="20"/>
          <w:lang w:val="en-GB"/>
        </w:rPr>
      </w:pPr>
      <w:r w:rsidRPr="002B1712">
        <w:rPr>
          <w:rFonts w:ascii="Arial" w:hAnsi="Arial" w:cs="Arial"/>
          <w:b/>
          <w:color w:val="000000"/>
          <w:sz w:val="20"/>
          <w:szCs w:val="20"/>
          <w:lang w:val="en-GB"/>
        </w:rPr>
        <w:t xml:space="preserve">Goal : Protection and mixed solutions (1900) </w:t>
      </w:r>
    </w:p>
    <w:tbl>
      <w:tblPr>
        <w:tblStyle w:val="Listamedia2"/>
        <w:tblW w:w="0" w:type="auto"/>
        <w:tblLayout w:type="fixed"/>
        <w:tblLook w:val="04A0" w:firstRow="1" w:lastRow="0" w:firstColumn="1" w:lastColumn="0" w:noHBand="0" w:noVBand="1"/>
      </w:tblPr>
      <w:tblGrid>
        <w:gridCol w:w="4219"/>
        <w:gridCol w:w="1134"/>
        <w:gridCol w:w="992"/>
        <w:gridCol w:w="1843"/>
      </w:tblGrid>
      <w:tr w:rsidR="00EC5B91" w:rsidRPr="002B1712" w:rsidTr="00A0506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219" w:type="dxa"/>
          </w:tcPr>
          <w:p w:rsidR="00EC5B91" w:rsidRPr="002B1712" w:rsidRDefault="00EC5B91" w:rsidP="00A05060">
            <w:pPr>
              <w:pStyle w:val="Prrafodelista"/>
              <w:ind w:left="0"/>
              <w:rPr>
                <w:rFonts w:ascii="Arial" w:hAnsi="Arial" w:cs="Arial"/>
                <w:sz w:val="20"/>
                <w:szCs w:val="20"/>
                <w:lang w:val="en-US"/>
              </w:rPr>
            </w:pPr>
            <w:r w:rsidRPr="002B1712">
              <w:rPr>
                <w:rFonts w:ascii="Arial" w:hAnsi="Arial" w:cs="Arial"/>
                <w:sz w:val="20"/>
                <w:szCs w:val="20"/>
                <w:lang w:val="en-US"/>
              </w:rPr>
              <w:t>Rights Group</w:t>
            </w:r>
          </w:p>
        </w:tc>
        <w:tc>
          <w:tcPr>
            <w:tcW w:w="1134" w:type="dxa"/>
          </w:tcPr>
          <w:p w:rsidR="00EC5B91" w:rsidRPr="002B1712" w:rsidRDefault="00EC5B91" w:rsidP="00A05060">
            <w:pPr>
              <w:pStyle w:val="Prrafodelista"/>
              <w:ind w:left="0"/>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Objective</w:t>
            </w:r>
          </w:p>
        </w:tc>
        <w:tc>
          <w:tcPr>
            <w:tcW w:w="992" w:type="dxa"/>
          </w:tcPr>
          <w:p w:rsidR="00EC5B91" w:rsidRPr="002B1712" w:rsidRDefault="00EC5B91" w:rsidP="00A05060">
            <w:pPr>
              <w:pStyle w:val="Prrafodelista"/>
              <w:ind w:left="0"/>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Output</w:t>
            </w:r>
          </w:p>
        </w:tc>
        <w:tc>
          <w:tcPr>
            <w:tcW w:w="1843" w:type="dxa"/>
          </w:tcPr>
          <w:p w:rsidR="00EC5B91" w:rsidRPr="002B1712" w:rsidRDefault="00EC5B91" w:rsidP="00A05060">
            <w:pPr>
              <w:pStyle w:val="Prrafodelista"/>
              <w:ind w:left="0"/>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Impact Indicator</w:t>
            </w:r>
          </w:p>
        </w:tc>
      </w:tr>
      <w:tr w:rsidR="00EC5B91" w:rsidRPr="002B1712" w:rsidTr="00A05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EC5B91" w:rsidRPr="002B1712" w:rsidRDefault="00EC5B91" w:rsidP="00A05060">
            <w:pPr>
              <w:pStyle w:val="Prrafodelista"/>
              <w:ind w:left="0"/>
              <w:rPr>
                <w:rFonts w:ascii="Arial" w:hAnsi="Arial" w:cs="Arial"/>
                <w:sz w:val="20"/>
                <w:szCs w:val="20"/>
                <w:lang w:val="en-US"/>
              </w:rPr>
            </w:pPr>
            <w:r w:rsidRPr="002B1712">
              <w:rPr>
                <w:rFonts w:ascii="Arial" w:hAnsi="Arial" w:cs="Arial"/>
                <w:sz w:val="20"/>
                <w:szCs w:val="20"/>
                <w:lang w:val="en-US"/>
              </w:rPr>
              <w:t>Basic Needs and Essential Services</w:t>
            </w:r>
          </w:p>
        </w:tc>
        <w:tc>
          <w:tcPr>
            <w:tcW w:w="1134"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4</w:t>
            </w:r>
          </w:p>
        </w:tc>
        <w:tc>
          <w:tcPr>
            <w:tcW w:w="992"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10</w:t>
            </w:r>
          </w:p>
        </w:tc>
        <w:tc>
          <w:tcPr>
            <w:tcW w:w="1843"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20</w:t>
            </w:r>
          </w:p>
        </w:tc>
      </w:tr>
      <w:tr w:rsidR="00EC5B91" w:rsidRPr="002B1712" w:rsidTr="00A05060">
        <w:tc>
          <w:tcPr>
            <w:cnfStyle w:val="001000000000" w:firstRow="0" w:lastRow="0" w:firstColumn="1" w:lastColumn="0" w:oddVBand="0" w:evenVBand="0" w:oddHBand="0" w:evenHBand="0" w:firstRowFirstColumn="0" w:firstRowLastColumn="0" w:lastRowFirstColumn="0" w:lastRowLastColumn="0"/>
            <w:tcW w:w="4219" w:type="dxa"/>
          </w:tcPr>
          <w:p w:rsidR="00EC5B91" w:rsidRPr="002B1712" w:rsidRDefault="00EC5B91" w:rsidP="00A05060">
            <w:pPr>
              <w:pStyle w:val="Prrafodelista"/>
              <w:ind w:left="0"/>
              <w:rPr>
                <w:rFonts w:ascii="Arial" w:hAnsi="Arial" w:cs="Arial"/>
                <w:sz w:val="20"/>
                <w:szCs w:val="20"/>
                <w:lang w:val="en-US"/>
              </w:rPr>
            </w:pPr>
            <w:r w:rsidRPr="002B1712">
              <w:rPr>
                <w:rFonts w:ascii="Arial" w:hAnsi="Arial" w:cs="Arial"/>
                <w:sz w:val="20"/>
                <w:szCs w:val="20"/>
                <w:lang w:val="en-US"/>
              </w:rPr>
              <w:t>Community Empowerment and Self Reliance</w:t>
            </w:r>
          </w:p>
        </w:tc>
        <w:tc>
          <w:tcPr>
            <w:tcW w:w="1134"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2</w:t>
            </w:r>
          </w:p>
        </w:tc>
        <w:tc>
          <w:tcPr>
            <w:tcW w:w="992"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5</w:t>
            </w:r>
          </w:p>
        </w:tc>
        <w:tc>
          <w:tcPr>
            <w:tcW w:w="1843"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16</w:t>
            </w:r>
          </w:p>
        </w:tc>
      </w:tr>
      <w:tr w:rsidR="00EC5B91" w:rsidRPr="002B1712" w:rsidTr="00A05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EC5B91" w:rsidRPr="002B1712" w:rsidRDefault="00EC5B91" w:rsidP="00A05060">
            <w:pPr>
              <w:pStyle w:val="Prrafodelista"/>
              <w:ind w:left="0"/>
              <w:rPr>
                <w:rFonts w:ascii="Arial" w:hAnsi="Arial" w:cs="Arial"/>
                <w:sz w:val="20"/>
                <w:szCs w:val="20"/>
                <w:lang w:val="en-US"/>
              </w:rPr>
            </w:pPr>
            <w:r w:rsidRPr="002B1712">
              <w:rPr>
                <w:rFonts w:ascii="Arial" w:hAnsi="Arial" w:cs="Arial"/>
                <w:sz w:val="20"/>
                <w:szCs w:val="20"/>
                <w:lang w:val="en-US"/>
              </w:rPr>
              <w:t>Durable Solutions</w:t>
            </w:r>
          </w:p>
        </w:tc>
        <w:tc>
          <w:tcPr>
            <w:tcW w:w="1134"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3</w:t>
            </w:r>
          </w:p>
        </w:tc>
        <w:tc>
          <w:tcPr>
            <w:tcW w:w="992"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8</w:t>
            </w:r>
          </w:p>
        </w:tc>
        <w:tc>
          <w:tcPr>
            <w:tcW w:w="1843"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15</w:t>
            </w:r>
          </w:p>
        </w:tc>
      </w:tr>
      <w:tr w:rsidR="00EC5B91" w:rsidRPr="002B1712" w:rsidTr="00A05060">
        <w:tc>
          <w:tcPr>
            <w:cnfStyle w:val="001000000000" w:firstRow="0" w:lastRow="0" w:firstColumn="1" w:lastColumn="0" w:oddVBand="0" w:evenVBand="0" w:oddHBand="0" w:evenHBand="0" w:firstRowFirstColumn="0" w:firstRowLastColumn="0" w:lastRowFirstColumn="0" w:lastRowLastColumn="0"/>
            <w:tcW w:w="4219" w:type="dxa"/>
          </w:tcPr>
          <w:p w:rsidR="00EC5B91" w:rsidRPr="002B1712" w:rsidRDefault="00EC5B91" w:rsidP="00A05060">
            <w:pPr>
              <w:pStyle w:val="Prrafodelista"/>
              <w:ind w:left="0"/>
              <w:rPr>
                <w:rFonts w:ascii="Arial" w:hAnsi="Arial" w:cs="Arial"/>
                <w:sz w:val="20"/>
                <w:szCs w:val="20"/>
                <w:lang w:val="en-US"/>
              </w:rPr>
            </w:pPr>
            <w:r w:rsidRPr="002B1712">
              <w:rPr>
                <w:rFonts w:ascii="Arial" w:hAnsi="Arial" w:cs="Arial"/>
                <w:sz w:val="20"/>
                <w:szCs w:val="20"/>
                <w:lang w:val="en-US"/>
              </w:rPr>
              <w:t>Fair Protection Processes and Documentation</w:t>
            </w:r>
          </w:p>
        </w:tc>
        <w:tc>
          <w:tcPr>
            <w:tcW w:w="1134"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3</w:t>
            </w:r>
          </w:p>
        </w:tc>
        <w:tc>
          <w:tcPr>
            <w:tcW w:w="992"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5</w:t>
            </w:r>
          </w:p>
        </w:tc>
        <w:tc>
          <w:tcPr>
            <w:tcW w:w="1843"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13</w:t>
            </w:r>
          </w:p>
        </w:tc>
      </w:tr>
      <w:tr w:rsidR="00EC5B91" w:rsidRPr="002B1712" w:rsidTr="00A05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EC5B91" w:rsidRPr="002B1712" w:rsidRDefault="00EC5B91" w:rsidP="00A05060">
            <w:pPr>
              <w:pStyle w:val="Prrafodelista"/>
              <w:ind w:left="0"/>
              <w:rPr>
                <w:rFonts w:ascii="Arial" w:hAnsi="Arial" w:cs="Arial"/>
                <w:sz w:val="20"/>
                <w:szCs w:val="20"/>
                <w:lang w:val="en-US"/>
              </w:rPr>
            </w:pPr>
            <w:r w:rsidRPr="002B1712">
              <w:rPr>
                <w:rFonts w:ascii="Arial" w:hAnsi="Arial" w:cs="Arial"/>
                <w:sz w:val="20"/>
                <w:szCs w:val="20"/>
                <w:lang w:val="en-US"/>
              </w:rPr>
              <w:t>Favourable Protection Environment</w:t>
            </w:r>
          </w:p>
        </w:tc>
        <w:tc>
          <w:tcPr>
            <w:tcW w:w="1134"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4</w:t>
            </w:r>
          </w:p>
        </w:tc>
        <w:tc>
          <w:tcPr>
            <w:tcW w:w="992"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3</w:t>
            </w:r>
          </w:p>
        </w:tc>
        <w:tc>
          <w:tcPr>
            <w:tcW w:w="1843"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17</w:t>
            </w:r>
          </w:p>
        </w:tc>
      </w:tr>
      <w:tr w:rsidR="00EC5B91" w:rsidRPr="002B1712" w:rsidTr="00A05060">
        <w:tc>
          <w:tcPr>
            <w:cnfStyle w:val="001000000000" w:firstRow="0" w:lastRow="0" w:firstColumn="1" w:lastColumn="0" w:oddVBand="0" w:evenVBand="0" w:oddHBand="0" w:evenHBand="0" w:firstRowFirstColumn="0" w:firstRowLastColumn="0" w:lastRowFirstColumn="0" w:lastRowLastColumn="0"/>
            <w:tcW w:w="4219" w:type="dxa"/>
          </w:tcPr>
          <w:p w:rsidR="00EC5B91" w:rsidRPr="002B1712" w:rsidRDefault="00EC5B91" w:rsidP="00A05060">
            <w:pPr>
              <w:pStyle w:val="Prrafodelista"/>
              <w:ind w:left="0"/>
              <w:rPr>
                <w:rFonts w:ascii="Arial" w:hAnsi="Arial" w:cs="Arial"/>
                <w:sz w:val="20"/>
                <w:szCs w:val="20"/>
                <w:lang w:val="en-US"/>
              </w:rPr>
            </w:pPr>
            <w:r w:rsidRPr="002B1712">
              <w:rPr>
                <w:rFonts w:ascii="Arial" w:hAnsi="Arial" w:cs="Arial"/>
                <w:sz w:val="20"/>
                <w:szCs w:val="20"/>
                <w:lang w:val="en-US"/>
              </w:rPr>
              <w:t>Leadership, Coordination and Partnerships</w:t>
            </w:r>
          </w:p>
        </w:tc>
        <w:tc>
          <w:tcPr>
            <w:tcW w:w="1134"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2</w:t>
            </w:r>
          </w:p>
        </w:tc>
        <w:tc>
          <w:tcPr>
            <w:tcW w:w="992"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4</w:t>
            </w:r>
          </w:p>
        </w:tc>
        <w:tc>
          <w:tcPr>
            <w:tcW w:w="1843"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7</w:t>
            </w:r>
          </w:p>
        </w:tc>
      </w:tr>
      <w:tr w:rsidR="00EC5B91" w:rsidRPr="002B1712" w:rsidTr="00A05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EC5B91" w:rsidRPr="002B1712" w:rsidRDefault="00EC5B91" w:rsidP="00A05060">
            <w:pPr>
              <w:pStyle w:val="Prrafodelista"/>
              <w:ind w:left="0"/>
              <w:rPr>
                <w:rFonts w:ascii="Arial" w:hAnsi="Arial" w:cs="Arial"/>
                <w:sz w:val="20"/>
                <w:szCs w:val="20"/>
                <w:lang w:val="en-US"/>
              </w:rPr>
            </w:pPr>
            <w:r w:rsidRPr="002B1712">
              <w:rPr>
                <w:rFonts w:ascii="Arial" w:hAnsi="Arial" w:cs="Arial"/>
                <w:sz w:val="20"/>
                <w:szCs w:val="20"/>
                <w:lang w:val="en-US"/>
              </w:rPr>
              <w:t>Logistics and Operations Support</w:t>
            </w:r>
          </w:p>
        </w:tc>
        <w:tc>
          <w:tcPr>
            <w:tcW w:w="1134"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1</w:t>
            </w:r>
          </w:p>
        </w:tc>
        <w:tc>
          <w:tcPr>
            <w:tcW w:w="992"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3</w:t>
            </w:r>
          </w:p>
        </w:tc>
        <w:tc>
          <w:tcPr>
            <w:tcW w:w="1843"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5</w:t>
            </w:r>
          </w:p>
        </w:tc>
      </w:tr>
      <w:tr w:rsidR="00EC5B91" w:rsidRPr="002B1712" w:rsidTr="00A05060">
        <w:tc>
          <w:tcPr>
            <w:cnfStyle w:val="001000000000" w:firstRow="0" w:lastRow="0" w:firstColumn="1" w:lastColumn="0" w:oddVBand="0" w:evenVBand="0" w:oddHBand="0" w:evenHBand="0" w:firstRowFirstColumn="0" w:firstRowLastColumn="0" w:lastRowFirstColumn="0" w:lastRowLastColumn="0"/>
            <w:tcW w:w="4219" w:type="dxa"/>
          </w:tcPr>
          <w:p w:rsidR="00EC5B91" w:rsidRPr="002B1712" w:rsidRDefault="00EC5B91" w:rsidP="00A05060">
            <w:pPr>
              <w:pStyle w:val="Prrafodelista"/>
              <w:ind w:left="0"/>
              <w:rPr>
                <w:rFonts w:ascii="Arial" w:hAnsi="Arial" w:cs="Arial"/>
                <w:sz w:val="20"/>
                <w:szCs w:val="20"/>
                <w:lang w:val="en-US"/>
              </w:rPr>
            </w:pPr>
            <w:r w:rsidRPr="002B1712">
              <w:rPr>
                <w:rFonts w:ascii="Arial" w:hAnsi="Arial" w:cs="Arial"/>
                <w:sz w:val="20"/>
                <w:szCs w:val="20"/>
                <w:lang w:val="en-US"/>
              </w:rPr>
              <w:t>Security from Violence and Exploitation</w:t>
            </w:r>
          </w:p>
        </w:tc>
        <w:tc>
          <w:tcPr>
            <w:tcW w:w="1134"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2</w:t>
            </w:r>
          </w:p>
        </w:tc>
        <w:tc>
          <w:tcPr>
            <w:tcW w:w="992"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7</w:t>
            </w:r>
          </w:p>
        </w:tc>
        <w:tc>
          <w:tcPr>
            <w:tcW w:w="1843"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15</w:t>
            </w:r>
          </w:p>
        </w:tc>
      </w:tr>
      <w:tr w:rsidR="00EC5B91" w:rsidRPr="002B1712" w:rsidTr="00A05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EC5B91" w:rsidRPr="002B1712" w:rsidRDefault="00EC5B91" w:rsidP="00A05060">
            <w:pPr>
              <w:pStyle w:val="Prrafodelista"/>
              <w:ind w:left="0"/>
              <w:rPr>
                <w:rFonts w:ascii="Arial" w:hAnsi="Arial" w:cs="Arial"/>
                <w:b/>
                <w:sz w:val="20"/>
                <w:szCs w:val="20"/>
                <w:lang w:val="en-US"/>
              </w:rPr>
            </w:pPr>
            <w:r w:rsidRPr="002B1712">
              <w:rPr>
                <w:rFonts w:ascii="Arial" w:hAnsi="Arial" w:cs="Arial"/>
                <w:b/>
                <w:sz w:val="20"/>
                <w:szCs w:val="20"/>
                <w:lang w:val="en-US"/>
              </w:rPr>
              <w:t>Total</w:t>
            </w:r>
          </w:p>
        </w:tc>
        <w:tc>
          <w:tcPr>
            <w:tcW w:w="1134"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lang w:val="en-US"/>
              </w:rPr>
            </w:pPr>
            <w:r w:rsidRPr="002B1712">
              <w:rPr>
                <w:rFonts w:ascii="Arial" w:hAnsi="Arial" w:cs="Arial"/>
                <w:b/>
                <w:sz w:val="20"/>
                <w:szCs w:val="20"/>
                <w:lang w:val="en-US"/>
              </w:rPr>
              <w:t>21</w:t>
            </w:r>
          </w:p>
        </w:tc>
        <w:tc>
          <w:tcPr>
            <w:tcW w:w="992"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lang w:val="en-US"/>
              </w:rPr>
            </w:pPr>
            <w:r w:rsidRPr="002B1712">
              <w:rPr>
                <w:rFonts w:ascii="Arial" w:hAnsi="Arial" w:cs="Arial"/>
                <w:b/>
                <w:sz w:val="20"/>
                <w:szCs w:val="20"/>
                <w:lang w:val="en-US"/>
              </w:rPr>
              <w:t>45</w:t>
            </w:r>
          </w:p>
        </w:tc>
        <w:tc>
          <w:tcPr>
            <w:tcW w:w="1843"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lang w:val="en-US"/>
              </w:rPr>
            </w:pPr>
            <w:r w:rsidRPr="002B1712">
              <w:rPr>
                <w:rFonts w:ascii="Arial" w:hAnsi="Arial" w:cs="Arial"/>
                <w:b/>
                <w:sz w:val="20"/>
                <w:szCs w:val="20"/>
                <w:lang w:val="en-US"/>
              </w:rPr>
              <w:t>108</w:t>
            </w:r>
          </w:p>
        </w:tc>
      </w:tr>
    </w:tbl>
    <w:p w:rsidR="00EC5B91" w:rsidRPr="002B1712" w:rsidRDefault="00EC5B91" w:rsidP="00EC5B91">
      <w:pPr>
        <w:pStyle w:val="Prrafodelista"/>
        <w:ind w:left="1471"/>
        <w:rPr>
          <w:rFonts w:ascii="Arial" w:hAnsi="Arial" w:cs="Arial"/>
          <w:sz w:val="20"/>
          <w:szCs w:val="20"/>
          <w:lang w:val="en-US"/>
        </w:rPr>
      </w:pPr>
    </w:p>
    <w:p w:rsidR="00EC5B91" w:rsidRPr="002B1712" w:rsidRDefault="00EC5B91" w:rsidP="00EC5B91">
      <w:pPr>
        <w:spacing w:line="276" w:lineRule="auto"/>
        <w:rPr>
          <w:rFonts w:ascii="Arial" w:hAnsi="Arial" w:cs="Arial"/>
          <w:b/>
          <w:color w:val="000000"/>
          <w:sz w:val="20"/>
          <w:szCs w:val="20"/>
        </w:rPr>
      </w:pPr>
      <w:r w:rsidRPr="002B1712">
        <w:rPr>
          <w:rFonts w:ascii="Arial" w:hAnsi="Arial" w:cs="Arial"/>
          <w:b/>
          <w:color w:val="000000"/>
          <w:sz w:val="20"/>
          <w:szCs w:val="20"/>
        </w:rPr>
        <w:t>Goal : Emergency response (1321)</w:t>
      </w:r>
    </w:p>
    <w:tbl>
      <w:tblPr>
        <w:tblStyle w:val="Listamedia2"/>
        <w:tblW w:w="0" w:type="auto"/>
        <w:tblLayout w:type="fixed"/>
        <w:tblLook w:val="04A0" w:firstRow="1" w:lastRow="0" w:firstColumn="1" w:lastColumn="0" w:noHBand="0" w:noVBand="1"/>
      </w:tblPr>
      <w:tblGrid>
        <w:gridCol w:w="4219"/>
        <w:gridCol w:w="1134"/>
        <w:gridCol w:w="992"/>
        <w:gridCol w:w="1843"/>
      </w:tblGrid>
      <w:tr w:rsidR="00EC5B91" w:rsidRPr="002B1712" w:rsidTr="00A0506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219" w:type="dxa"/>
          </w:tcPr>
          <w:p w:rsidR="00EC5B91" w:rsidRPr="002B1712" w:rsidRDefault="00EC5B91" w:rsidP="00A05060">
            <w:pPr>
              <w:pStyle w:val="Prrafodelista"/>
              <w:ind w:left="0"/>
              <w:rPr>
                <w:rFonts w:ascii="Arial" w:hAnsi="Arial" w:cs="Arial"/>
                <w:sz w:val="20"/>
                <w:szCs w:val="20"/>
                <w:lang w:val="en-US"/>
              </w:rPr>
            </w:pPr>
            <w:r w:rsidRPr="002B1712">
              <w:rPr>
                <w:rFonts w:ascii="Arial" w:hAnsi="Arial" w:cs="Arial"/>
                <w:sz w:val="20"/>
                <w:szCs w:val="20"/>
                <w:lang w:val="en-US"/>
              </w:rPr>
              <w:t>Rights Group</w:t>
            </w:r>
          </w:p>
        </w:tc>
        <w:tc>
          <w:tcPr>
            <w:tcW w:w="1134" w:type="dxa"/>
          </w:tcPr>
          <w:p w:rsidR="00EC5B91" w:rsidRPr="002B1712" w:rsidRDefault="00EC5B91" w:rsidP="00A05060">
            <w:pPr>
              <w:pStyle w:val="Prrafodelista"/>
              <w:ind w:left="0"/>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Objective</w:t>
            </w:r>
          </w:p>
        </w:tc>
        <w:tc>
          <w:tcPr>
            <w:tcW w:w="992" w:type="dxa"/>
          </w:tcPr>
          <w:p w:rsidR="00EC5B91" w:rsidRPr="002B1712" w:rsidRDefault="00EC5B91" w:rsidP="00A05060">
            <w:pPr>
              <w:pStyle w:val="Prrafodelista"/>
              <w:ind w:left="0"/>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Output</w:t>
            </w:r>
          </w:p>
        </w:tc>
        <w:tc>
          <w:tcPr>
            <w:tcW w:w="1843" w:type="dxa"/>
          </w:tcPr>
          <w:p w:rsidR="00EC5B91" w:rsidRPr="002B1712" w:rsidRDefault="00EC5B91" w:rsidP="00A05060">
            <w:pPr>
              <w:pStyle w:val="Prrafodelista"/>
              <w:ind w:left="0"/>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Impact Indicator</w:t>
            </w:r>
          </w:p>
        </w:tc>
      </w:tr>
      <w:tr w:rsidR="00EC5B91" w:rsidRPr="002B1712" w:rsidTr="00A05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EC5B91" w:rsidRPr="002B1712" w:rsidRDefault="00EC5B91" w:rsidP="00A05060">
            <w:pPr>
              <w:pStyle w:val="Prrafodelista"/>
              <w:ind w:left="0"/>
              <w:rPr>
                <w:rFonts w:ascii="Arial" w:hAnsi="Arial" w:cs="Arial"/>
                <w:sz w:val="20"/>
                <w:szCs w:val="20"/>
                <w:lang w:val="en-US"/>
              </w:rPr>
            </w:pPr>
            <w:r w:rsidRPr="002B1712">
              <w:rPr>
                <w:rFonts w:ascii="Arial" w:hAnsi="Arial" w:cs="Arial"/>
                <w:sz w:val="20"/>
                <w:szCs w:val="20"/>
                <w:lang w:val="en-US"/>
              </w:rPr>
              <w:t>Basic Needs and Essential Services</w:t>
            </w:r>
          </w:p>
        </w:tc>
        <w:tc>
          <w:tcPr>
            <w:tcW w:w="1134"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4</w:t>
            </w:r>
          </w:p>
        </w:tc>
        <w:tc>
          <w:tcPr>
            <w:tcW w:w="992"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5</w:t>
            </w:r>
          </w:p>
        </w:tc>
        <w:tc>
          <w:tcPr>
            <w:tcW w:w="1843"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14</w:t>
            </w:r>
          </w:p>
        </w:tc>
      </w:tr>
      <w:tr w:rsidR="00EC5B91" w:rsidRPr="002B1712" w:rsidTr="00A05060">
        <w:tc>
          <w:tcPr>
            <w:cnfStyle w:val="001000000000" w:firstRow="0" w:lastRow="0" w:firstColumn="1" w:lastColumn="0" w:oddVBand="0" w:evenVBand="0" w:oddHBand="0" w:evenHBand="0" w:firstRowFirstColumn="0" w:firstRowLastColumn="0" w:lastRowFirstColumn="0" w:lastRowLastColumn="0"/>
            <w:tcW w:w="4219" w:type="dxa"/>
          </w:tcPr>
          <w:p w:rsidR="00EC5B91" w:rsidRPr="002B1712" w:rsidRDefault="00EC5B91" w:rsidP="00A05060">
            <w:pPr>
              <w:pStyle w:val="Prrafodelista"/>
              <w:ind w:left="0"/>
              <w:rPr>
                <w:rFonts w:ascii="Arial" w:hAnsi="Arial" w:cs="Arial"/>
                <w:b/>
                <w:sz w:val="20"/>
                <w:szCs w:val="20"/>
                <w:lang w:val="en-US"/>
              </w:rPr>
            </w:pPr>
            <w:r w:rsidRPr="002B1712">
              <w:rPr>
                <w:rFonts w:ascii="Arial" w:hAnsi="Arial" w:cs="Arial"/>
                <w:b/>
                <w:sz w:val="20"/>
                <w:szCs w:val="20"/>
                <w:lang w:val="en-US"/>
              </w:rPr>
              <w:t>Total</w:t>
            </w:r>
          </w:p>
        </w:tc>
        <w:tc>
          <w:tcPr>
            <w:tcW w:w="1134"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lang w:val="en-US"/>
              </w:rPr>
            </w:pPr>
            <w:r w:rsidRPr="002B1712">
              <w:rPr>
                <w:rFonts w:ascii="Arial" w:hAnsi="Arial" w:cs="Arial"/>
                <w:b/>
                <w:sz w:val="20"/>
                <w:szCs w:val="20"/>
                <w:lang w:val="en-US"/>
              </w:rPr>
              <w:t>4</w:t>
            </w:r>
          </w:p>
        </w:tc>
        <w:tc>
          <w:tcPr>
            <w:tcW w:w="992"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lang w:val="en-US"/>
              </w:rPr>
            </w:pPr>
            <w:r w:rsidRPr="002B1712">
              <w:rPr>
                <w:rFonts w:ascii="Arial" w:hAnsi="Arial" w:cs="Arial"/>
                <w:b/>
                <w:sz w:val="20"/>
                <w:szCs w:val="20"/>
                <w:lang w:val="en-US"/>
              </w:rPr>
              <w:t>5</w:t>
            </w:r>
          </w:p>
        </w:tc>
        <w:tc>
          <w:tcPr>
            <w:tcW w:w="1843"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lang w:val="en-US"/>
              </w:rPr>
            </w:pPr>
            <w:r w:rsidRPr="002B1712">
              <w:rPr>
                <w:rFonts w:ascii="Arial" w:hAnsi="Arial" w:cs="Arial"/>
                <w:b/>
                <w:sz w:val="20"/>
                <w:szCs w:val="20"/>
                <w:lang w:val="en-US"/>
              </w:rPr>
              <w:t>14</w:t>
            </w:r>
          </w:p>
        </w:tc>
      </w:tr>
    </w:tbl>
    <w:p w:rsidR="00EC5B91" w:rsidRPr="002B1712" w:rsidRDefault="00EC5B91" w:rsidP="00EC5B91">
      <w:pPr>
        <w:pStyle w:val="Prrafodelista"/>
        <w:ind w:left="1471"/>
        <w:rPr>
          <w:rFonts w:ascii="Arial" w:hAnsi="Arial" w:cs="Arial"/>
          <w:sz w:val="20"/>
          <w:szCs w:val="20"/>
          <w:lang w:val="en-US"/>
        </w:rPr>
      </w:pPr>
    </w:p>
    <w:p w:rsidR="00EC5B91" w:rsidRPr="002B1712" w:rsidRDefault="00EC5B91" w:rsidP="00EC5B91">
      <w:pPr>
        <w:spacing w:line="276" w:lineRule="auto"/>
        <w:rPr>
          <w:rFonts w:ascii="Arial" w:hAnsi="Arial" w:cs="Arial"/>
          <w:b/>
          <w:color w:val="000000"/>
          <w:sz w:val="20"/>
          <w:szCs w:val="20"/>
        </w:rPr>
      </w:pPr>
      <w:r w:rsidRPr="002B1712">
        <w:rPr>
          <w:rFonts w:ascii="Arial" w:hAnsi="Arial" w:cs="Arial"/>
          <w:b/>
          <w:color w:val="000000"/>
          <w:sz w:val="20"/>
          <w:szCs w:val="20"/>
        </w:rPr>
        <w:t>Goal : Protection pending solutions (1202)</w:t>
      </w:r>
    </w:p>
    <w:tbl>
      <w:tblPr>
        <w:tblStyle w:val="Listamedia2"/>
        <w:tblW w:w="0" w:type="auto"/>
        <w:tblLayout w:type="fixed"/>
        <w:tblLook w:val="04A0" w:firstRow="1" w:lastRow="0" w:firstColumn="1" w:lastColumn="0" w:noHBand="0" w:noVBand="1"/>
      </w:tblPr>
      <w:tblGrid>
        <w:gridCol w:w="4219"/>
        <w:gridCol w:w="1134"/>
        <w:gridCol w:w="992"/>
        <w:gridCol w:w="1843"/>
      </w:tblGrid>
      <w:tr w:rsidR="00EC5B91" w:rsidRPr="002B1712" w:rsidTr="00A0506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219" w:type="dxa"/>
          </w:tcPr>
          <w:p w:rsidR="00EC5B91" w:rsidRPr="002B1712" w:rsidRDefault="00EC5B91" w:rsidP="00A05060">
            <w:pPr>
              <w:pStyle w:val="Prrafodelista"/>
              <w:ind w:left="0"/>
              <w:rPr>
                <w:rFonts w:ascii="Arial" w:hAnsi="Arial" w:cs="Arial"/>
                <w:b/>
                <w:sz w:val="20"/>
                <w:szCs w:val="20"/>
                <w:lang w:val="en-US"/>
              </w:rPr>
            </w:pPr>
            <w:r w:rsidRPr="002B1712">
              <w:rPr>
                <w:rFonts w:ascii="Arial" w:hAnsi="Arial" w:cs="Arial"/>
                <w:b/>
                <w:sz w:val="20"/>
                <w:szCs w:val="20"/>
                <w:lang w:val="en-US"/>
              </w:rPr>
              <w:t>Rights Group</w:t>
            </w:r>
          </w:p>
        </w:tc>
        <w:tc>
          <w:tcPr>
            <w:tcW w:w="1134" w:type="dxa"/>
          </w:tcPr>
          <w:p w:rsidR="00EC5B91" w:rsidRPr="002B1712" w:rsidRDefault="00EC5B91" w:rsidP="00A05060">
            <w:pPr>
              <w:pStyle w:val="Prrafodelista"/>
              <w:ind w:left="0"/>
              <w:jc w:val="right"/>
              <w:cnfStyle w:val="100000000000" w:firstRow="1" w:lastRow="0" w:firstColumn="0" w:lastColumn="0" w:oddVBand="0" w:evenVBand="0" w:oddHBand="0" w:evenHBand="0" w:firstRowFirstColumn="0" w:firstRowLastColumn="0" w:lastRowFirstColumn="0" w:lastRowLastColumn="0"/>
              <w:rPr>
                <w:rFonts w:ascii="Arial" w:hAnsi="Arial" w:cs="Arial"/>
                <w:b/>
                <w:sz w:val="20"/>
                <w:szCs w:val="20"/>
                <w:lang w:val="en-US"/>
              </w:rPr>
            </w:pPr>
            <w:r w:rsidRPr="002B1712">
              <w:rPr>
                <w:rFonts w:ascii="Arial" w:hAnsi="Arial" w:cs="Arial"/>
                <w:b/>
                <w:sz w:val="20"/>
                <w:szCs w:val="20"/>
                <w:lang w:val="en-US"/>
              </w:rPr>
              <w:t>Objective</w:t>
            </w:r>
          </w:p>
        </w:tc>
        <w:tc>
          <w:tcPr>
            <w:tcW w:w="992" w:type="dxa"/>
          </w:tcPr>
          <w:p w:rsidR="00EC5B91" w:rsidRPr="002B1712" w:rsidRDefault="00EC5B91" w:rsidP="00A05060">
            <w:pPr>
              <w:pStyle w:val="Prrafodelista"/>
              <w:ind w:left="0"/>
              <w:jc w:val="right"/>
              <w:cnfStyle w:val="100000000000" w:firstRow="1" w:lastRow="0" w:firstColumn="0" w:lastColumn="0" w:oddVBand="0" w:evenVBand="0" w:oddHBand="0" w:evenHBand="0" w:firstRowFirstColumn="0" w:firstRowLastColumn="0" w:lastRowFirstColumn="0" w:lastRowLastColumn="0"/>
              <w:rPr>
                <w:rFonts w:ascii="Arial" w:hAnsi="Arial" w:cs="Arial"/>
                <w:b/>
                <w:sz w:val="20"/>
                <w:szCs w:val="20"/>
                <w:lang w:val="en-US"/>
              </w:rPr>
            </w:pPr>
            <w:r w:rsidRPr="002B1712">
              <w:rPr>
                <w:rFonts w:ascii="Arial" w:hAnsi="Arial" w:cs="Arial"/>
                <w:b/>
                <w:sz w:val="20"/>
                <w:szCs w:val="20"/>
                <w:lang w:val="en-US"/>
              </w:rPr>
              <w:t>Output</w:t>
            </w:r>
          </w:p>
        </w:tc>
        <w:tc>
          <w:tcPr>
            <w:tcW w:w="1843" w:type="dxa"/>
          </w:tcPr>
          <w:p w:rsidR="00EC5B91" w:rsidRPr="002B1712" w:rsidRDefault="00EC5B91" w:rsidP="00A05060">
            <w:pPr>
              <w:pStyle w:val="Prrafodelista"/>
              <w:ind w:left="0"/>
              <w:jc w:val="right"/>
              <w:cnfStyle w:val="100000000000" w:firstRow="1" w:lastRow="0" w:firstColumn="0" w:lastColumn="0" w:oddVBand="0" w:evenVBand="0" w:oddHBand="0" w:evenHBand="0" w:firstRowFirstColumn="0" w:firstRowLastColumn="0" w:lastRowFirstColumn="0" w:lastRowLastColumn="0"/>
              <w:rPr>
                <w:rFonts w:ascii="Arial" w:hAnsi="Arial" w:cs="Arial"/>
                <w:b/>
                <w:sz w:val="20"/>
                <w:szCs w:val="20"/>
                <w:lang w:val="en-US"/>
              </w:rPr>
            </w:pPr>
            <w:r w:rsidRPr="002B1712">
              <w:rPr>
                <w:rFonts w:ascii="Arial" w:hAnsi="Arial" w:cs="Arial"/>
                <w:b/>
                <w:sz w:val="20"/>
                <w:szCs w:val="20"/>
                <w:lang w:val="en-US"/>
              </w:rPr>
              <w:t>Impact Indicator</w:t>
            </w:r>
          </w:p>
        </w:tc>
      </w:tr>
      <w:tr w:rsidR="00EC5B91" w:rsidRPr="002B1712" w:rsidTr="00A05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EC5B91" w:rsidRPr="002B1712" w:rsidRDefault="00EC5B91" w:rsidP="00A05060">
            <w:pPr>
              <w:pStyle w:val="Prrafodelista"/>
              <w:ind w:left="0"/>
              <w:rPr>
                <w:rFonts w:ascii="Arial" w:hAnsi="Arial" w:cs="Arial"/>
                <w:sz w:val="20"/>
                <w:szCs w:val="20"/>
                <w:lang w:val="en-US"/>
              </w:rPr>
            </w:pPr>
            <w:r w:rsidRPr="002B1712">
              <w:rPr>
                <w:rFonts w:ascii="Arial" w:hAnsi="Arial" w:cs="Arial"/>
                <w:sz w:val="20"/>
                <w:szCs w:val="20"/>
                <w:lang w:val="en-US"/>
              </w:rPr>
              <w:t>Basic Needs and Essential Services</w:t>
            </w:r>
          </w:p>
        </w:tc>
        <w:tc>
          <w:tcPr>
            <w:tcW w:w="1134"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4</w:t>
            </w:r>
          </w:p>
        </w:tc>
        <w:tc>
          <w:tcPr>
            <w:tcW w:w="992"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5</w:t>
            </w:r>
          </w:p>
        </w:tc>
        <w:tc>
          <w:tcPr>
            <w:tcW w:w="1843"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14</w:t>
            </w:r>
          </w:p>
        </w:tc>
      </w:tr>
      <w:tr w:rsidR="00EC5B91" w:rsidRPr="002B1712" w:rsidTr="00A05060">
        <w:tc>
          <w:tcPr>
            <w:cnfStyle w:val="001000000000" w:firstRow="0" w:lastRow="0" w:firstColumn="1" w:lastColumn="0" w:oddVBand="0" w:evenVBand="0" w:oddHBand="0" w:evenHBand="0" w:firstRowFirstColumn="0" w:firstRowLastColumn="0" w:lastRowFirstColumn="0" w:lastRowLastColumn="0"/>
            <w:tcW w:w="4219" w:type="dxa"/>
          </w:tcPr>
          <w:p w:rsidR="00EC5B91" w:rsidRPr="002B1712" w:rsidRDefault="00EC5B91" w:rsidP="00A05060">
            <w:pPr>
              <w:pStyle w:val="Prrafodelista"/>
              <w:ind w:left="0"/>
              <w:rPr>
                <w:rFonts w:ascii="Arial" w:hAnsi="Arial" w:cs="Arial"/>
                <w:sz w:val="20"/>
                <w:szCs w:val="20"/>
                <w:lang w:val="en-US"/>
              </w:rPr>
            </w:pPr>
            <w:r w:rsidRPr="002B1712">
              <w:rPr>
                <w:rFonts w:ascii="Arial" w:hAnsi="Arial" w:cs="Arial"/>
                <w:sz w:val="20"/>
                <w:szCs w:val="20"/>
                <w:lang w:val="en-US"/>
              </w:rPr>
              <w:t>Community Empowerment and Self Reliance</w:t>
            </w:r>
          </w:p>
        </w:tc>
        <w:tc>
          <w:tcPr>
            <w:tcW w:w="1134"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2</w:t>
            </w:r>
          </w:p>
        </w:tc>
        <w:tc>
          <w:tcPr>
            <w:tcW w:w="992"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3</w:t>
            </w:r>
          </w:p>
        </w:tc>
        <w:tc>
          <w:tcPr>
            <w:tcW w:w="1843"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7</w:t>
            </w:r>
          </w:p>
        </w:tc>
      </w:tr>
      <w:tr w:rsidR="00EC5B91" w:rsidRPr="002B1712" w:rsidTr="00A05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EC5B91" w:rsidRPr="002B1712" w:rsidRDefault="00EC5B91" w:rsidP="00A05060">
            <w:pPr>
              <w:pStyle w:val="Prrafodelista"/>
              <w:ind w:left="0"/>
              <w:rPr>
                <w:rFonts w:ascii="Arial" w:hAnsi="Arial" w:cs="Arial"/>
                <w:sz w:val="20"/>
                <w:szCs w:val="20"/>
                <w:lang w:val="en-US"/>
              </w:rPr>
            </w:pPr>
            <w:r w:rsidRPr="002B1712">
              <w:rPr>
                <w:rFonts w:ascii="Arial" w:hAnsi="Arial" w:cs="Arial"/>
                <w:sz w:val="20"/>
                <w:szCs w:val="20"/>
                <w:lang w:val="en-US"/>
              </w:rPr>
              <w:t>Durable Solutions</w:t>
            </w:r>
          </w:p>
        </w:tc>
        <w:tc>
          <w:tcPr>
            <w:tcW w:w="1134"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3</w:t>
            </w:r>
          </w:p>
        </w:tc>
        <w:tc>
          <w:tcPr>
            <w:tcW w:w="992"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6</w:t>
            </w:r>
          </w:p>
        </w:tc>
        <w:tc>
          <w:tcPr>
            <w:tcW w:w="1843"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11</w:t>
            </w:r>
          </w:p>
        </w:tc>
      </w:tr>
      <w:tr w:rsidR="00EC5B91" w:rsidRPr="002B1712" w:rsidTr="00A05060">
        <w:tc>
          <w:tcPr>
            <w:cnfStyle w:val="001000000000" w:firstRow="0" w:lastRow="0" w:firstColumn="1" w:lastColumn="0" w:oddVBand="0" w:evenVBand="0" w:oddHBand="0" w:evenHBand="0" w:firstRowFirstColumn="0" w:firstRowLastColumn="0" w:lastRowFirstColumn="0" w:lastRowLastColumn="0"/>
            <w:tcW w:w="4219" w:type="dxa"/>
          </w:tcPr>
          <w:p w:rsidR="00EC5B91" w:rsidRPr="002B1712" w:rsidRDefault="00EC5B91" w:rsidP="00A05060">
            <w:pPr>
              <w:pStyle w:val="Prrafodelista"/>
              <w:ind w:left="0"/>
              <w:rPr>
                <w:rFonts w:ascii="Arial" w:hAnsi="Arial" w:cs="Arial"/>
                <w:sz w:val="20"/>
                <w:szCs w:val="20"/>
                <w:lang w:val="en-US"/>
              </w:rPr>
            </w:pPr>
            <w:r w:rsidRPr="002B1712">
              <w:rPr>
                <w:rFonts w:ascii="Arial" w:hAnsi="Arial" w:cs="Arial"/>
                <w:sz w:val="20"/>
                <w:szCs w:val="20"/>
                <w:lang w:val="en-US"/>
              </w:rPr>
              <w:t>Fair Protection Processes and Documentation</w:t>
            </w:r>
          </w:p>
        </w:tc>
        <w:tc>
          <w:tcPr>
            <w:tcW w:w="1134"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2</w:t>
            </w:r>
          </w:p>
        </w:tc>
        <w:tc>
          <w:tcPr>
            <w:tcW w:w="992"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3</w:t>
            </w:r>
          </w:p>
        </w:tc>
        <w:tc>
          <w:tcPr>
            <w:tcW w:w="1843"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11</w:t>
            </w:r>
          </w:p>
        </w:tc>
      </w:tr>
      <w:tr w:rsidR="00EC5B91" w:rsidRPr="002B1712" w:rsidTr="00A05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EC5B91" w:rsidRPr="002B1712" w:rsidRDefault="00EC5B91" w:rsidP="00A05060">
            <w:pPr>
              <w:pStyle w:val="Prrafodelista"/>
              <w:ind w:left="0"/>
              <w:rPr>
                <w:rFonts w:ascii="Arial" w:hAnsi="Arial" w:cs="Arial"/>
                <w:sz w:val="20"/>
                <w:szCs w:val="20"/>
                <w:lang w:val="en-US"/>
              </w:rPr>
            </w:pPr>
            <w:r w:rsidRPr="002B1712">
              <w:rPr>
                <w:rFonts w:ascii="Arial" w:hAnsi="Arial" w:cs="Arial"/>
                <w:sz w:val="20"/>
                <w:szCs w:val="20"/>
                <w:lang w:val="en-US"/>
              </w:rPr>
              <w:t>Favorable Protection Environment</w:t>
            </w:r>
          </w:p>
        </w:tc>
        <w:tc>
          <w:tcPr>
            <w:tcW w:w="1134"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3</w:t>
            </w:r>
          </w:p>
        </w:tc>
        <w:tc>
          <w:tcPr>
            <w:tcW w:w="992"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4</w:t>
            </w:r>
          </w:p>
        </w:tc>
        <w:tc>
          <w:tcPr>
            <w:tcW w:w="1843"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16</w:t>
            </w:r>
          </w:p>
        </w:tc>
      </w:tr>
      <w:tr w:rsidR="00EC5B91" w:rsidRPr="002B1712" w:rsidTr="00A05060">
        <w:tc>
          <w:tcPr>
            <w:cnfStyle w:val="001000000000" w:firstRow="0" w:lastRow="0" w:firstColumn="1" w:lastColumn="0" w:oddVBand="0" w:evenVBand="0" w:oddHBand="0" w:evenHBand="0" w:firstRowFirstColumn="0" w:firstRowLastColumn="0" w:lastRowFirstColumn="0" w:lastRowLastColumn="0"/>
            <w:tcW w:w="4219" w:type="dxa"/>
          </w:tcPr>
          <w:p w:rsidR="00EC5B91" w:rsidRPr="002B1712" w:rsidRDefault="00EC5B91" w:rsidP="00A05060">
            <w:pPr>
              <w:pStyle w:val="Prrafodelista"/>
              <w:ind w:left="0"/>
              <w:rPr>
                <w:rFonts w:ascii="Arial" w:hAnsi="Arial" w:cs="Arial"/>
                <w:sz w:val="20"/>
                <w:szCs w:val="20"/>
                <w:lang w:val="en-US"/>
              </w:rPr>
            </w:pPr>
            <w:r w:rsidRPr="002B1712">
              <w:rPr>
                <w:rFonts w:ascii="Arial" w:hAnsi="Arial" w:cs="Arial"/>
                <w:sz w:val="20"/>
                <w:szCs w:val="20"/>
                <w:lang w:val="en-US"/>
              </w:rPr>
              <w:t>Leadership, Coordination and Partnerships</w:t>
            </w:r>
          </w:p>
        </w:tc>
        <w:tc>
          <w:tcPr>
            <w:tcW w:w="1134"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1</w:t>
            </w:r>
          </w:p>
        </w:tc>
        <w:tc>
          <w:tcPr>
            <w:tcW w:w="992"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1</w:t>
            </w:r>
          </w:p>
        </w:tc>
        <w:tc>
          <w:tcPr>
            <w:tcW w:w="1843"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3</w:t>
            </w:r>
          </w:p>
        </w:tc>
      </w:tr>
      <w:tr w:rsidR="00EC5B91" w:rsidRPr="002B1712" w:rsidTr="00A05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EC5B91" w:rsidRPr="002B1712" w:rsidRDefault="00EC5B91" w:rsidP="00A05060">
            <w:pPr>
              <w:pStyle w:val="Prrafodelista"/>
              <w:ind w:left="0"/>
              <w:rPr>
                <w:rFonts w:ascii="Arial" w:hAnsi="Arial" w:cs="Arial"/>
                <w:b/>
                <w:sz w:val="20"/>
                <w:szCs w:val="20"/>
                <w:lang w:val="en-US"/>
              </w:rPr>
            </w:pPr>
            <w:r w:rsidRPr="002B1712">
              <w:rPr>
                <w:rFonts w:ascii="Arial" w:hAnsi="Arial" w:cs="Arial"/>
                <w:b/>
                <w:sz w:val="20"/>
                <w:szCs w:val="20"/>
                <w:lang w:val="en-US"/>
              </w:rPr>
              <w:t>Total</w:t>
            </w:r>
          </w:p>
        </w:tc>
        <w:tc>
          <w:tcPr>
            <w:tcW w:w="1134"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lang w:val="en-US"/>
              </w:rPr>
            </w:pPr>
            <w:r w:rsidRPr="002B1712">
              <w:rPr>
                <w:rFonts w:ascii="Arial" w:hAnsi="Arial" w:cs="Arial"/>
                <w:b/>
                <w:sz w:val="20"/>
                <w:szCs w:val="20"/>
                <w:lang w:val="en-US"/>
              </w:rPr>
              <w:t>15</w:t>
            </w:r>
          </w:p>
        </w:tc>
        <w:tc>
          <w:tcPr>
            <w:tcW w:w="992"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lang w:val="en-US"/>
              </w:rPr>
            </w:pPr>
            <w:r w:rsidRPr="002B1712">
              <w:rPr>
                <w:rFonts w:ascii="Arial" w:hAnsi="Arial" w:cs="Arial"/>
                <w:b/>
                <w:sz w:val="20"/>
                <w:szCs w:val="20"/>
                <w:lang w:val="en-US"/>
              </w:rPr>
              <w:t>22</w:t>
            </w:r>
          </w:p>
        </w:tc>
        <w:tc>
          <w:tcPr>
            <w:tcW w:w="1843"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lang w:val="en-US"/>
              </w:rPr>
            </w:pPr>
            <w:r w:rsidRPr="002B1712">
              <w:rPr>
                <w:rFonts w:ascii="Arial" w:hAnsi="Arial" w:cs="Arial"/>
                <w:b/>
                <w:sz w:val="20"/>
                <w:szCs w:val="20"/>
                <w:lang w:val="en-US"/>
              </w:rPr>
              <w:t>62</w:t>
            </w:r>
          </w:p>
        </w:tc>
      </w:tr>
    </w:tbl>
    <w:p w:rsidR="00EC5B91" w:rsidRPr="002B1712" w:rsidRDefault="00EC5B91" w:rsidP="00EC5B91">
      <w:pPr>
        <w:pStyle w:val="Prrafodelista"/>
        <w:ind w:left="1471"/>
        <w:rPr>
          <w:rFonts w:ascii="Arial" w:hAnsi="Arial" w:cs="Arial"/>
          <w:sz w:val="20"/>
          <w:szCs w:val="20"/>
          <w:lang w:val="en-US"/>
        </w:rPr>
      </w:pPr>
    </w:p>
    <w:p w:rsidR="00EC5B91" w:rsidRPr="002B1712" w:rsidRDefault="00EC5B91" w:rsidP="00EC5B91">
      <w:pPr>
        <w:spacing w:line="276" w:lineRule="auto"/>
        <w:rPr>
          <w:rFonts w:ascii="Arial" w:hAnsi="Arial" w:cs="Arial"/>
          <w:b/>
          <w:color w:val="000000"/>
          <w:sz w:val="20"/>
          <w:szCs w:val="20"/>
          <w:lang w:val="en-GB"/>
        </w:rPr>
      </w:pPr>
      <w:r w:rsidRPr="002B1712">
        <w:rPr>
          <w:rFonts w:ascii="Arial" w:hAnsi="Arial" w:cs="Arial"/>
          <w:b/>
          <w:color w:val="000000"/>
          <w:sz w:val="20"/>
          <w:szCs w:val="20"/>
          <w:lang w:val="en-GB"/>
        </w:rPr>
        <w:t>Goal:  Advocacy for protection and solutions (1308)</w:t>
      </w:r>
    </w:p>
    <w:tbl>
      <w:tblPr>
        <w:tblStyle w:val="Listamedia2"/>
        <w:tblW w:w="0" w:type="auto"/>
        <w:tblLayout w:type="fixed"/>
        <w:tblLook w:val="04A0" w:firstRow="1" w:lastRow="0" w:firstColumn="1" w:lastColumn="0" w:noHBand="0" w:noVBand="1"/>
      </w:tblPr>
      <w:tblGrid>
        <w:gridCol w:w="4219"/>
        <w:gridCol w:w="1134"/>
        <w:gridCol w:w="992"/>
        <w:gridCol w:w="1843"/>
      </w:tblGrid>
      <w:tr w:rsidR="00EC5B91" w:rsidRPr="002B1712" w:rsidTr="00A0506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219" w:type="dxa"/>
          </w:tcPr>
          <w:p w:rsidR="00EC5B91" w:rsidRPr="002B1712" w:rsidRDefault="00EC5B91" w:rsidP="00A05060">
            <w:pPr>
              <w:pStyle w:val="Prrafodelista"/>
              <w:ind w:left="0"/>
              <w:rPr>
                <w:rFonts w:ascii="Arial" w:hAnsi="Arial" w:cs="Arial"/>
                <w:b/>
                <w:sz w:val="20"/>
                <w:szCs w:val="20"/>
                <w:lang w:val="en-US"/>
              </w:rPr>
            </w:pPr>
            <w:r w:rsidRPr="002B1712">
              <w:rPr>
                <w:rFonts w:ascii="Arial" w:hAnsi="Arial" w:cs="Arial"/>
                <w:b/>
                <w:sz w:val="20"/>
                <w:szCs w:val="20"/>
                <w:lang w:val="en-US"/>
              </w:rPr>
              <w:lastRenderedPageBreak/>
              <w:t>Rights Group</w:t>
            </w:r>
          </w:p>
        </w:tc>
        <w:tc>
          <w:tcPr>
            <w:tcW w:w="1134" w:type="dxa"/>
          </w:tcPr>
          <w:p w:rsidR="00EC5B91" w:rsidRPr="002B1712" w:rsidRDefault="00EC5B91" w:rsidP="00A05060">
            <w:pPr>
              <w:pStyle w:val="Prrafodelista"/>
              <w:ind w:left="0"/>
              <w:jc w:val="right"/>
              <w:cnfStyle w:val="100000000000" w:firstRow="1" w:lastRow="0" w:firstColumn="0" w:lastColumn="0" w:oddVBand="0" w:evenVBand="0" w:oddHBand="0" w:evenHBand="0" w:firstRowFirstColumn="0" w:firstRowLastColumn="0" w:lastRowFirstColumn="0" w:lastRowLastColumn="0"/>
              <w:rPr>
                <w:rFonts w:ascii="Arial" w:hAnsi="Arial" w:cs="Arial"/>
                <w:b/>
                <w:sz w:val="20"/>
                <w:szCs w:val="20"/>
                <w:lang w:val="en-US"/>
              </w:rPr>
            </w:pPr>
            <w:r w:rsidRPr="002B1712">
              <w:rPr>
                <w:rFonts w:ascii="Arial" w:hAnsi="Arial" w:cs="Arial"/>
                <w:b/>
                <w:sz w:val="20"/>
                <w:szCs w:val="20"/>
                <w:lang w:val="en-US"/>
              </w:rPr>
              <w:t>Objective</w:t>
            </w:r>
          </w:p>
        </w:tc>
        <w:tc>
          <w:tcPr>
            <w:tcW w:w="992" w:type="dxa"/>
          </w:tcPr>
          <w:p w:rsidR="00EC5B91" w:rsidRPr="002B1712" w:rsidRDefault="00EC5B91" w:rsidP="00A05060">
            <w:pPr>
              <w:pStyle w:val="Prrafodelista"/>
              <w:ind w:left="0"/>
              <w:jc w:val="right"/>
              <w:cnfStyle w:val="100000000000" w:firstRow="1" w:lastRow="0" w:firstColumn="0" w:lastColumn="0" w:oddVBand="0" w:evenVBand="0" w:oddHBand="0" w:evenHBand="0" w:firstRowFirstColumn="0" w:firstRowLastColumn="0" w:lastRowFirstColumn="0" w:lastRowLastColumn="0"/>
              <w:rPr>
                <w:rFonts w:ascii="Arial" w:hAnsi="Arial" w:cs="Arial"/>
                <w:b/>
                <w:sz w:val="20"/>
                <w:szCs w:val="20"/>
                <w:lang w:val="en-US"/>
              </w:rPr>
            </w:pPr>
            <w:r w:rsidRPr="002B1712">
              <w:rPr>
                <w:rFonts w:ascii="Arial" w:hAnsi="Arial" w:cs="Arial"/>
                <w:b/>
                <w:sz w:val="20"/>
                <w:szCs w:val="20"/>
                <w:lang w:val="en-US"/>
              </w:rPr>
              <w:t>Output</w:t>
            </w:r>
          </w:p>
        </w:tc>
        <w:tc>
          <w:tcPr>
            <w:tcW w:w="1843" w:type="dxa"/>
          </w:tcPr>
          <w:p w:rsidR="00EC5B91" w:rsidRPr="002B1712" w:rsidRDefault="00EC5B91" w:rsidP="00A05060">
            <w:pPr>
              <w:pStyle w:val="Prrafodelista"/>
              <w:ind w:left="0"/>
              <w:jc w:val="right"/>
              <w:cnfStyle w:val="100000000000" w:firstRow="1" w:lastRow="0" w:firstColumn="0" w:lastColumn="0" w:oddVBand="0" w:evenVBand="0" w:oddHBand="0" w:evenHBand="0" w:firstRowFirstColumn="0" w:firstRowLastColumn="0" w:lastRowFirstColumn="0" w:lastRowLastColumn="0"/>
              <w:rPr>
                <w:rFonts w:ascii="Arial" w:hAnsi="Arial" w:cs="Arial"/>
                <w:b/>
                <w:sz w:val="20"/>
                <w:szCs w:val="20"/>
                <w:lang w:val="en-US"/>
              </w:rPr>
            </w:pPr>
            <w:r w:rsidRPr="002B1712">
              <w:rPr>
                <w:rFonts w:ascii="Arial" w:hAnsi="Arial" w:cs="Arial"/>
                <w:b/>
                <w:sz w:val="20"/>
                <w:szCs w:val="20"/>
                <w:lang w:val="en-US"/>
              </w:rPr>
              <w:t>Impact Indicator</w:t>
            </w:r>
          </w:p>
        </w:tc>
      </w:tr>
      <w:tr w:rsidR="00EC5B91" w:rsidRPr="002B1712" w:rsidTr="00A05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EC5B91" w:rsidRPr="002B1712" w:rsidRDefault="00EC5B91" w:rsidP="00A05060">
            <w:pPr>
              <w:pStyle w:val="Prrafodelista"/>
              <w:ind w:left="0"/>
              <w:rPr>
                <w:rFonts w:ascii="Arial" w:hAnsi="Arial" w:cs="Arial"/>
                <w:sz w:val="20"/>
                <w:szCs w:val="20"/>
                <w:lang w:val="en-US"/>
              </w:rPr>
            </w:pPr>
            <w:r w:rsidRPr="002B1712">
              <w:rPr>
                <w:rFonts w:ascii="Arial" w:hAnsi="Arial" w:cs="Arial"/>
                <w:sz w:val="20"/>
                <w:szCs w:val="20"/>
                <w:lang w:val="en-US"/>
              </w:rPr>
              <w:t>Basic Needs and Essential Services</w:t>
            </w:r>
          </w:p>
        </w:tc>
        <w:tc>
          <w:tcPr>
            <w:tcW w:w="1134"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3</w:t>
            </w:r>
          </w:p>
        </w:tc>
        <w:tc>
          <w:tcPr>
            <w:tcW w:w="992"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3</w:t>
            </w:r>
          </w:p>
        </w:tc>
        <w:tc>
          <w:tcPr>
            <w:tcW w:w="1843" w:type="dxa"/>
          </w:tcPr>
          <w:p w:rsidR="00EC5B91" w:rsidRPr="002B1712" w:rsidRDefault="00EC5B91" w:rsidP="00A05060">
            <w:pPr>
              <w:pStyle w:val="Prrafodelista"/>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sidRPr="002B1712">
              <w:rPr>
                <w:rFonts w:ascii="Arial" w:hAnsi="Arial" w:cs="Arial"/>
                <w:sz w:val="20"/>
                <w:szCs w:val="20"/>
                <w:lang w:val="en-US"/>
              </w:rPr>
              <w:t>11</w:t>
            </w:r>
          </w:p>
        </w:tc>
      </w:tr>
      <w:tr w:rsidR="00EC5B91" w:rsidRPr="002B1712" w:rsidTr="00A05060">
        <w:tc>
          <w:tcPr>
            <w:cnfStyle w:val="001000000000" w:firstRow="0" w:lastRow="0" w:firstColumn="1" w:lastColumn="0" w:oddVBand="0" w:evenVBand="0" w:oddHBand="0" w:evenHBand="0" w:firstRowFirstColumn="0" w:firstRowLastColumn="0" w:lastRowFirstColumn="0" w:lastRowLastColumn="0"/>
            <w:tcW w:w="4219" w:type="dxa"/>
          </w:tcPr>
          <w:p w:rsidR="00EC5B91" w:rsidRPr="002B1712" w:rsidRDefault="00EC5B91" w:rsidP="00A05060">
            <w:pPr>
              <w:pStyle w:val="Prrafodelista"/>
              <w:ind w:left="0"/>
              <w:rPr>
                <w:rFonts w:ascii="Arial" w:hAnsi="Arial" w:cs="Arial"/>
                <w:b/>
                <w:sz w:val="20"/>
                <w:szCs w:val="20"/>
                <w:lang w:val="en-US"/>
              </w:rPr>
            </w:pPr>
            <w:r w:rsidRPr="002B1712">
              <w:rPr>
                <w:rFonts w:ascii="Arial" w:hAnsi="Arial" w:cs="Arial"/>
                <w:b/>
                <w:sz w:val="20"/>
                <w:szCs w:val="20"/>
                <w:lang w:val="en-US"/>
              </w:rPr>
              <w:t>Total</w:t>
            </w:r>
          </w:p>
        </w:tc>
        <w:tc>
          <w:tcPr>
            <w:tcW w:w="1134"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lang w:val="en-US"/>
              </w:rPr>
            </w:pPr>
            <w:r w:rsidRPr="002B1712">
              <w:rPr>
                <w:rFonts w:ascii="Arial" w:hAnsi="Arial" w:cs="Arial"/>
                <w:b/>
                <w:sz w:val="20"/>
                <w:szCs w:val="20"/>
                <w:lang w:val="en-US"/>
              </w:rPr>
              <w:t>3</w:t>
            </w:r>
          </w:p>
        </w:tc>
        <w:tc>
          <w:tcPr>
            <w:tcW w:w="992"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lang w:val="en-US"/>
              </w:rPr>
            </w:pPr>
            <w:r w:rsidRPr="002B1712">
              <w:rPr>
                <w:rFonts w:ascii="Arial" w:hAnsi="Arial" w:cs="Arial"/>
                <w:b/>
                <w:sz w:val="20"/>
                <w:szCs w:val="20"/>
                <w:lang w:val="en-US"/>
              </w:rPr>
              <w:t>3</w:t>
            </w:r>
          </w:p>
        </w:tc>
        <w:tc>
          <w:tcPr>
            <w:tcW w:w="1843" w:type="dxa"/>
          </w:tcPr>
          <w:p w:rsidR="00EC5B91" w:rsidRPr="002B1712" w:rsidRDefault="00EC5B91" w:rsidP="00A05060">
            <w:pPr>
              <w:pStyle w:val="Prrafodelista"/>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lang w:val="en-US"/>
              </w:rPr>
            </w:pPr>
            <w:r w:rsidRPr="002B1712">
              <w:rPr>
                <w:rFonts w:ascii="Arial" w:hAnsi="Arial" w:cs="Arial"/>
                <w:b/>
                <w:sz w:val="20"/>
                <w:szCs w:val="20"/>
                <w:lang w:val="en-US"/>
              </w:rPr>
              <w:t>11</w:t>
            </w:r>
          </w:p>
        </w:tc>
      </w:tr>
    </w:tbl>
    <w:p w:rsidR="00EC5B91" w:rsidRPr="002B1712" w:rsidRDefault="00EC5B91" w:rsidP="00EC5B91">
      <w:pPr>
        <w:rPr>
          <w:rFonts w:ascii="Arial" w:hAnsi="Arial" w:cs="Arial"/>
          <w:color w:val="000000"/>
          <w:sz w:val="20"/>
          <w:szCs w:val="20"/>
        </w:rPr>
      </w:pPr>
    </w:p>
    <w:p w:rsidR="00EC5B91" w:rsidRPr="002B1712" w:rsidRDefault="00EC5B91" w:rsidP="00EC5B91">
      <w:pPr>
        <w:spacing w:line="276" w:lineRule="auto"/>
        <w:jc w:val="both"/>
        <w:rPr>
          <w:rFonts w:ascii="Arial" w:hAnsi="Arial" w:cs="Arial"/>
          <w:b/>
          <w:sz w:val="20"/>
          <w:szCs w:val="20"/>
          <w:lang w:val="en-US"/>
        </w:rPr>
      </w:pPr>
      <w:r w:rsidRPr="002B1712">
        <w:rPr>
          <w:rFonts w:ascii="Arial" w:hAnsi="Arial" w:cs="Arial"/>
          <w:b/>
          <w:sz w:val="20"/>
          <w:szCs w:val="20"/>
          <w:lang w:val="en-US"/>
        </w:rPr>
        <w:t>SUMMARY OF RELEVANT FIGURES PER GOAL</w:t>
      </w:r>
    </w:p>
    <w:p w:rsidR="00EC5B91" w:rsidRPr="002B1712" w:rsidRDefault="00EC5B91" w:rsidP="00EC5B91">
      <w:pPr>
        <w:spacing w:line="276" w:lineRule="auto"/>
        <w:jc w:val="both"/>
        <w:rPr>
          <w:rFonts w:ascii="Arial" w:hAnsi="Arial" w:cs="Arial"/>
          <w:b/>
          <w:sz w:val="20"/>
          <w:szCs w:val="20"/>
          <w:lang w:val="en-US"/>
        </w:rPr>
      </w:pPr>
      <w:r w:rsidRPr="002B1712">
        <w:rPr>
          <w:rFonts w:ascii="Arial" w:hAnsi="Arial" w:cs="Arial"/>
          <w:b/>
          <w:sz w:val="20"/>
          <w:szCs w:val="20"/>
          <w:lang w:val="en-US"/>
        </w:rPr>
        <w:t>Impact indicator analysis: goal protection and mixed solutions (1900)</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sz w:val="20"/>
          <w:szCs w:val="20"/>
          <w:lang w:val="en-US"/>
        </w:rPr>
      </w:pPr>
      <w:r w:rsidRPr="002B1712">
        <w:rPr>
          <w:rFonts w:ascii="Arial" w:hAnsi="Arial" w:cs="Arial"/>
          <w:i/>
          <w:sz w:val="20"/>
          <w:szCs w:val="20"/>
          <w:lang w:val="en-US"/>
        </w:rPr>
        <w:t># of persons referred to secondary and tertiary medical care</w:t>
      </w:r>
      <w:r w:rsidRPr="002B1712">
        <w:rPr>
          <w:rFonts w:ascii="Arial" w:hAnsi="Arial" w:cs="Arial"/>
          <w:sz w:val="20"/>
          <w:szCs w:val="20"/>
          <w:lang w:val="en-US"/>
        </w:rPr>
        <w:t>: YER (2,152.0) is more than double that of the Target OL (1,000.0) for the year 2018.</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secondary school-aged young people enrolled in secondary</w:t>
      </w:r>
      <w:r w:rsidRPr="002B1712">
        <w:rPr>
          <w:rFonts w:ascii="Arial" w:hAnsi="Arial" w:cs="Arial"/>
          <w:sz w:val="20"/>
          <w:szCs w:val="20"/>
          <w:lang w:val="en-US"/>
        </w:rPr>
        <w:t>: YER (28.2) is much lower than the Target OL (70.0) for the year 2018.</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households receiving conditional cash grants or vouchers for education</w:t>
      </w:r>
      <w:r w:rsidRPr="002B1712">
        <w:rPr>
          <w:rFonts w:ascii="Arial" w:hAnsi="Arial" w:cs="Arial"/>
          <w:sz w:val="20"/>
          <w:szCs w:val="20"/>
          <w:lang w:val="en-US"/>
        </w:rPr>
        <w:t>: YER (403.0) is much higher than that the Target OL (150.0) for the year 2016.</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known LGBTI PoC receiving specific support</w:t>
      </w:r>
      <w:r w:rsidRPr="002B1712">
        <w:rPr>
          <w:rFonts w:ascii="Arial" w:hAnsi="Arial" w:cs="Arial"/>
          <w:sz w:val="20"/>
          <w:szCs w:val="20"/>
          <w:lang w:val="en-US"/>
        </w:rPr>
        <w:t>: YER (178.0) is more than double that of the Target OL (80.0) for the year 2017.</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persons of concern (18-59 yrs) with own business / self-employed for more than 12 months</w:t>
      </w:r>
      <w:r w:rsidRPr="002B1712">
        <w:rPr>
          <w:rFonts w:ascii="Arial" w:hAnsi="Arial" w:cs="Arial"/>
          <w:sz w:val="20"/>
          <w:szCs w:val="20"/>
          <w:lang w:val="en-US"/>
        </w:rPr>
        <w:t>: there is a big gap between the baseline (4.6), the Target OL (70.0) and the YER (53.7) for the year 2016.</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Extent persons of concern have formal access to work opportunities in host country</w:t>
      </w:r>
      <w:r w:rsidRPr="002B1712">
        <w:rPr>
          <w:rFonts w:ascii="Arial" w:hAnsi="Arial" w:cs="Arial"/>
          <w:sz w:val="20"/>
          <w:szCs w:val="20"/>
          <w:lang w:val="en-US"/>
        </w:rPr>
        <w:t>: there is a significant increase of the YER between 2016 (6.0) and 2017 (40.0).</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PoC provided with guidance on business market opportunities</w:t>
      </w:r>
      <w:r w:rsidRPr="002B1712">
        <w:rPr>
          <w:rFonts w:ascii="Arial" w:hAnsi="Arial" w:cs="Arial"/>
          <w:sz w:val="20"/>
          <w:szCs w:val="20"/>
          <w:lang w:val="en-US"/>
        </w:rPr>
        <w:t>: there is a sharp increase between 2017 (Target OL: 50.0 / YER: 79.0) and 2018 (Target OL: 200.0 / YER: 320.0).</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PoC registered in job placement services</w:t>
      </w:r>
      <w:r w:rsidRPr="002B1712">
        <w:rPr>
          <w:rFonts w:ascii="Arial" w:hAnsi="Arial" w:cs="Arial"/>
          <w:sz w:val="20"/>
          <w:szCs w:val="20"/>
          <w:lang w:val="en-US"/>
        </w:rPr>
        <w:t>: in 2018 YER (30.0) is far away of the Target OL (100.0).</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Resettlement Registration Forms (RRFs) submitted</w:t>
      </w:r>
      <w:r w:rsidRPr="002B1712">
        <w:rPr>
          <w:rFonts w:ascii="Arial" w:hAnsi="Arial" w:cs="Arial"/>
          <w:sz w:val="20"/>
          <w:szCs w:val="20"/>
          <w:lang w:val="en-US"/>
        </w:rPr>
        <w:t>: in 2017 YER (29.0) is lower than the Target OL (66.0) and in contrast in 2018 YER (133.0) is higher than the Target OL (60.0).</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persons who received anti-fraud training</w:t>
      </w:r>
      <w:r w:rsidRPr="002B1712">
        <w:rPr>
          <w:rFonts w:ascii="Arial" w:hAnsi="Arial" w:cs="Arial"/>
          <w:sz w:val="20"/>
          <w:szCs w:val="20"/>
          <w:lang w:val="en-US"/>
        </w:rPr>
        <w:t>: YER (3.0) is low than the Target OL (20.0) for the year 2018 and the indicator is not present for the year 2019.</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Average # of days from registration to first instance interview</w:t>
      </w:r>
      <w:r w:rsidRPr="002B1712">
        <w:rPr>
          <w:rFonts w:ascii="Arial" w:hAnsi="Arial" w:cs="Arial"/>
          <w:sz w:val="20"/>
          <w:szCs w:val="20"/>
          <w:lang w:val="en-US"/>
        </w:rPr>
        <w:t>: there is a sharp increase between 2016 (Target OL: 30.0 / YER: 80.0) and 2018 (Target OL: 180.0 / YER: 160.0).</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children registered and issued documentation under regular birth registration procedure</w:t>
      </w:r>
      <w:r w:rsidRPr="002B1712">
        <w:rPr>
          <w:rFonts w:ascii="Arial" w:hAnsi="Arial" w:cs="Arial"/>
          <w:sz w:val="20"/>
          <w:szCs w:val="20"/>
          <w:lang w:val="en-US"/>
        </w:rPr>
        <w:t>: YER is always much higher than the Target OL for the years 2016, 2017, 2018.</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identity documents issued for PoC</w:t>
      </w:r>
      <w:r w:rsidRPr="002B1712">
        <w:rPr>
          <w:rFonts w:ascii="Arial" w:hAnsi="Arial" w:cs="Arial"/>
          <w:sz w:val="20"/>
          <w:szCs w:val="20"/>
          <w:lang w:val="en-US"/>
        </w:rPr>
        <w:t>: in 2017 the Target OL (10,000.0) is high compared to other years (2016: 3,500.0/2018: 2,500.0/2019: 1,000.0).</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media stories on UNHCR operations published</w:t>
      </w:r>
      <w:r w:rsidRPr="002B1712">
        <w:rPr>
          <w:rFonts w:ascii="Arial" w:hAnsi="Arial" w:cs="Arial"/>
          <w:sz w:val="20"/>
          <w:szCs w:val="20"/>
          <w:lang w:val="en-US"/>
        </w:rPr>
        <w:t>: YER (64.0) is higher than the Target OL (20.0) for the year 2017.</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partner and government staff provided with general training on child protection and children's rights</w:t>
      </w:r>
      <w:r w:rsidRPr="002B1712">
        <w:rPr>
          <w:rFonts w:ascii="Arial" w:hAnsi="Arial" w:cs="Arial"/>
          <w:sz w:val="20"/>
          <w:szCs w:val="20"/>
          <w:lang w:val="en-US"/>
        </w:rPr>
        <w:t>: there is a significant increase between 2016 (Target OL: 30.0 / YER: 44.0) and 2017 (Target OL: 250.0 / YER: 315.0).</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partner, government and UNHCR staff trained on SGBV prevention and response</w:t>
      </w:r>
      <w:r w:rsidRPr="002B1712">
        <w:rPr>
          <w:rFonts w:ascii="Arial" w:hAnsi="Arial" w:cs="Arial"/>
          <w:sz w:val="20"/>
          <w:szCs w:val="20"/>
          <w:lang w:val="en-US"/>
        </w:rPr>
        <w:t>: YER (412.0) is eight times higher than the Target OL (50.0) for the year 2016.</w:t>
      </w:r>
    </w:p>
    <w:p w:rsidR="00EC5B91" w:rsidRPr="002B1712" w:rsidRDefault="00EC5B91" w:rsidP="00EC5B91">
      <w:pPr>
        <w:jc w:val="both"/>
        <w:rPr>
          <w:rFonts w:ascii="Arial" w:hAnsi="Arial" w:cs="Arial"/>
          <w:sz w:val="20"/>
          <w:szCs w:val="20"/>
          <w:lang w:val="en-US"/>
        </w:rPr>
      </w:pPr>
    </w:p>
    <w:p w:rsidR="00EC5B91" w:rsidRPr="002B1712" w:rsidRDefault="00EC5B91" w:rsidP="00EC5B91">
      <w:pPr>
        <w:spacing w:line="276" w:lineRule="auto"/>
        <w:jc w:val="both"/>
        <w:rPr>
          <w:rFonts w:ascii="Arial" w:hAnsi="Arial" w:cs="Arial"/>
          <w:b/>
          <w:sz w:val="20"/>
          <w:szCs w:val="20"/>
          <w:lang w:val="en-US"/>
        </w:rPr>
      </w:pPr>
      <w:r w:rsidRPr="002B1712">
        <w:rPr>
          <w:rFonts w:ascii="Arial" w:hAnsi="Arial" w:cs="Arial"/>
          <w:b/>
          <w:sz w:val="20"/>
          <w:szCs w:val="20"/>
          <w:lang w:val="en-US"/>
        </w:rPr>
        <w:t>Impact indicator analysis: goal emergency response (1321)</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targeted households whose basic needs are met with multi-purpose cash grants or vouchers</w:t>
      </w:r>
      <w:r w:rsidRPr="002B1712">
        <w:rPr>
          <w:rFonts w:ascii="Arial" w:hAnsi="Arial" w:cs="Arial"/>
          <w:sz w:val="20"/>
          <w:szCs w:val="20"/>
          <w:lang w:val="en-US"/>
        </w:rPr>
        <w:t>: this indicator is only used for the year 2019.</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households receiving cash grants</w:t>
      </w:r>
      <w:r w:rsidRPr="002B1712">
        <w:rPr>
          <w:rFonts w:ascii="Arial" w:hAnsi="Arial" w:cs="Arial"/>
          <w:sz w:val="20"/>
          <w:szCs w:val="20"/>
          <w:lang w:val="en-US"/>
        </w:rPr>
        <w:t>: this indicator is only used for the year 2019.</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PoC receiving cash grants</w:t>
      </w:r>
      <w:r w:rsidRPr="002B1712">
        <w:rPr>
          <w:rFonts w:ascii="Arial" w:hAnsi="Arial" w:cs="Arial"/>
          <w:sz w:val="20"/>
          <w:szCs w:val="20"/>
          <w:lang w:val="en-US"/>
        </w:rPr>
        <w:t>: the Target OL is divided by half between 2017 (1,200.0) and 2018 (600.0).</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children aged 3-5 enrolled in early childhood education</w:t>
      </w:r>
      <w:r w:rsidRPr="002B1712">
        <w:rPr>
          <w:rFonts w:ascii="Arial" w:hAnsi="Arial" w:cs="Arial"/>
          <w:sz w:val="20"/>
          <w:szCs w:val="20"/>
          <w:lang w:val="en-US"/>
        </w:rPr>
        <w:t>: YER (147.0) is higher than the Target OL (50.0) for the year 2016.</w:t>
      </w:r>
    </w:p>
    <w:p w:rsidR="00EC5B91" w:rsidRPr="002B1712" w:rsidRDefault="00EC5B91" w:rsidP="00EC5B91">
      <w:pPr>
        <w:pStyle w:val="Prrafodelista"/>
        <w:ind w:left="357"/>
        <w:jc w:val="both"/>
        <w:rPr>
          <w:rFonts w:ascii="Arial" w:hAnsi="Arial" w:cs="Arial"/>
          <w:i/>
          <w:sz w:val="20"/>
          <w:szCs w:val="20"/>
          <w:lang w:val="en-US"/>
        </w:rPr>
      </w:pPr>
    </w:p>
    <w:p w:rsidR="00EC5B91" w:rsidRPr="002B1712" w:rsidRDefault="00EC5B91" w:rsidP="00EC5B91">
      <w:pPr>
        <w:spacing w:line="276" w:lineRule="auto"/>
        <w:jc w:val="both"/>
        <w:rPr>
          <w:rFonts w:ascii="Arial" w:hAnsi="Arial" w:cs="Arial"/>
          <w:b/>
          <w:sz w:val="20"/>
          <w:szCs w:val="20"/>
          <w:lang w:val="en-US"/>
        </w:rPr>
      </w:pPr>
      <w:r w:rsidRPr="002B1712">
        <w:rPr>
          <w:rFonts w:ascii="Arial" w:hAnsi="Arial" w:cs="Arial"/>
          <w:b/>
          <w:sz w:val="20"/>
          <w:szCs w:val="20"/>
          <w:lang w:val="en-US"/>
        </w:rPr>
        <w:t>Impact indicator analysis: goal protection pending solutions (1202)</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xml:space="preserve"># of persons referred to secondary and tertiary medical care: </w:t>
      </w:r>
      <w:r w:rsidRPr="002B1712">
        <w:rPr>
          <w:rFonts w:ascii="Arial" w:hAnsi="Arial" w:cs="Arial"/>
          <w:sz w:val="20"/>
          <w:szCs w:val="20"/>
          <w:lang w:val="en-US"/>
        </w:rPr>
        <w:t>YER (867.0) is higher than the Target OL (300.0) for the year 2018.</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households receiving cash grants</w:t>
      </w:r>
      <w:r w:rsidRPr="002B1712">
        <w:rPr>
          <w:rFonts w:ascii="Arial" w:hAnsi="Arial" w:cs="Arial"/>
          <w:sz w:val="20"/>
          <w:szCs w:val="20"/>
          <w:lang w:val="en-US"/>
        </w:rPr>
        <w:t>: this indicator is only used for the year 2019.</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secondary school-aged young people enrolled in secondary</w:t>
      </w:r>
      <w:r w:rsidRPr="002B1712">
        <w:rPr>
          <w:rFonts w:ascii="Arial" w:hAnsi="Arial" w:cs="Arial"/>
          <w:sz w:val="20"/>
          <w:szCs w:val="20"/>
          <w:lang w:val="en-US"/>
        </w:rPr>
        <w:t>: YER (28.2) is much lower than the Target OL (70.0) for the year 2018.</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PoC receiving residence permits</w:t>
      </w:r>
      <w:r w:rsidRPr="002B1712">
        <w:rPr>
          <w:rFonts w:ascii="Arial" w:hAnsi="Arial" w:cs="Arial"/>
          <w:sz w:val="20"/>
          <w:szCs w:val="20"/>
          <w:lang w:val="en-US"/>
        </w:rPr>
        <w:t>: YER (661.0) is higher than the Target OL (100.0) for the year 2016.</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persons of concern submitted for resettlement who have departed for resettlement</w:t>
      </w:r>
      <w:r w:rsidRPr="002B1712">
        <w:rPr>
          <w:rFonts w:ascii="Arial" w:hAnsi="Arial" w:cs="Arial"/>
          <w:sz w:val="20"/>
          <w:szCs w:val="20"/>
          <w:lang w:val="en-US"/>
        </w:rPr>
        <w:t>: YER (86.7) is higher than the Target OL (50.0) for the year 2016.</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Average # of days from registration to first instance interview</w:t>
      </w:r>
      <w:r w:rsidRPr="002B1712">
        <w:rPr>
          <w:rFonts w:ascii="Arial" w:hAnsi="Arial" w:cs="Arial"/>
          <w:sz w:val="20"/>
          <w:szCs w:val="20"/>
          <w:lang w:val="en-US"/>
        </w:rPr>
        <w:t>: YER (80.0) is higher than the Target OL (30.0) for the year 2016.</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government status determination staff trained</w:t>
      </w:r>
      <w:r w:rsidRPr="002B1712">
        <w:rPr>
          <w:rFonts w:ascii="Arial" w:hAnsi="Arial" w:cs="Arial"/>
          <w:sz w:val="20"/>
          <w:szCs w:val="20"/>
          <w:lang w:val="en-US"/>
        </w:rPr>
        <w:t>: YER is 0.0 while the Target OL was to 40.0 in the year 2016. This indicator is not available for the years 2017, 2018 and 2019.</w:t>
      </w:r>
    </w:p>
    <w:p w:rsidR="00EC5B91" w:rsidRPr="002B1712" w:rsidRDefault="00EC5B91" w:rsidP="00EC5B91">
      <w:pPr>
        <w:pStyle w:val="Prrafodelista"/>
        <w:spacing w:after="0" w:line="276" w:lineRule="auto"/>
        <w:ind w:left="357"/>
        <w:jc w:val="both"/>
        <w:rPr>
          <w:rFonts w:ascii="Arial" w:hAnsi="Arial" w:cs="Arial"/>
          <w:i/>
          <w:sz w:val="20"/>
          <w:szCs w:val="20"/>
          <w:lang w:val="en-US"/>
        </w:rPr>
      </w:pPr>
    </w:p>
    <w:p w:rsidR="00EC5B91" w:rsidRPr="002B1712" w:rsidRDefault="00EC5B91" w:rsidP="00EC5B91">
      <w:pPr>
        <w:spacing w:line="276" w:lineRule="auto"/>
        <w:jc w:val="both"/>
        <w:rPr>
          <w:rFonts w:ascii="Arial" w:hAnsi="Arial" w:cs="Arial"/>
          <w:b/>
          <w:sz w:val="20"/>
          <w:szCs w:val="20"/>
          <w:lang w:val="en-US"/>
        </w:rPr>
      </w:pPr>
      <w:r w:rsidRPr="002B1712">
        <w:rPr>
          <w:rFonts w:ascii="Arial" w:hAnsi="Arial" w:cs="Arial"/>
          <w:b/>
          <w:sz w:val="20"/>
          <w:szCs w:val="20"/>
          <w:lang w:val="en-US"/>
        </w:rPr>
        <w:t>Impact indicator analysis: goal advocacy for protection and solutions</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sz w:val="20"/>
          <w:szCs w:val="20"/>
          <w:lang w:val="en-US"/>
        </w:rPr>
      </w:pPr>
      <w:r w:rsidRPr="002B1712">
        <w:rPr>
          <w:rFonts w:ascii="Arial" w:hAnsi="Arial" w:cs="Arial"/>
          <w:i/>
          <w:sz w:val="20"/>
          <w:szCs w:val="20"/>
          <w:lang w:val="en-US"/>
        </w:rPr>
        <w:t># of persons referred to secondary and tertiary medical care</w:t>
      </w:r>
      <w:r w:rsidRPr="002B1712">
        <w:rPr>
          <w:rFonts w:ascii="Arial" w:hAnsi="Arial" w:cs="Arial"/>
          <w:sz w:val="20"/>
          <w:szCs w:val="20"/>
          <w:lang w:val="en-US"/>
        </w:rPr>
        <w:t>: YER (754.0) is more than double that of the Target OL (350.0) for the year 2018.</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secondary school-aged young people enrolled in secondary</w:t>
      </w:r>
      <w:r w:rsidRPr="002B1712">
        <w:rPr>
          <w:rFonts w:ascii="Arial" w:hAnsi="Arial" w:cs="Arial"/>
          <w:sz w:val="20"/>
          <w:szCs w:val="20"/>
          <w:lang w:val="en-US"/>
        </w:rPr>
        <w:t>: YER (28.2) is much lower than the Target OL (70.0) for the year 2018.</w:t>
      </w:r>
    </w:p>
    <w:p w:rsidR="00EC5B91" w:rsidRPr="002B1712" w:rsidRDefault="00EC5B91" w:rsidP="00EC5B91">
      <w:pPr>
        <w:pStyle w:val="Prrafodelista"/>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57"/>
        <w:contextualSpacing/>
        <w:jc w:val="both"/>
        <w:rPr>
          <w:rFonts w:ascii="Arial" w:hAnsi="Arial" w:cs="Arial"/>
          <w:i/>
          <w:sz w:val="20"/>
          <w:szCs w:val="20"/>
          <w:lang w:val="en-US"/>
        </w:rPr>
      </w:pPr>
      <w:r w:rsidRPr="002B1712">
        <w:rPr>
          <w:rFonts w:ascii="Arial" w:hAnsi="Arial" w:cs="Arial"/>
          <w:i/>
          <w:sz w:val="20"/>
          <w:szCs w:val="20"/>
          <w:lang w:val="en-US"/>
        </w:rPr>
        <w:t># of PoC receiving cash grants</w:t>
      </w:r>
      <w:r w:rsidRPr="002B1712">
        <w:rPr>
          <w:rFonts w:ascii="Arial" w:hAnsi="Arial" w:cs="Arial"/>
          <w:sz w:val="20"/>
          <w:szCs w:val="20"/>
          <w:lang w:val="en-US"/>
        </w:rPr>
        <w:t>: YER (1,000.0) is ten times higher than that the Target OL (100.0) for the year 2018.</w:t>
      </w:r>
    </w:p>
    <w:p w:rsidR="00EC5B91" w:rsidRPr="002B1712" w:rsidRDefault="00EC5B91" w:rsidP="00EC5B91">
      <w:pPr>
        <w:ind w:left="-3"/>
        <w:jc w:val="both"/>
        <w:rPr>
          <w:rFonts w:ascii="Arial" w:hAnsi="Arial" w:cs="Arial"/>
          <w:sz w:val="20"/>
          <w:szCs w:val="20"/>
          <w:lang w:val="en-US"/>
        </w:rPr>
      </w:pPr>
    </w:p>
    <w:p w:rsidR="00EC5B91" w:rsidRPr="002B1712" w:rsidRDefault="00EC5B91" w:rsidP="00EC5B91">
      <w:pPr>
        <w:ind w:left="-3"/>
        <w:jc w:val="both"/>
        <w:rPr>
          <w:rFonts w:ascii="Arial" w:hAnsi="Arial" w:cs="Arial"/>
          <w:sz w:val="20"/>
          <w:szCs w:val="20"/>
          <w:lang w:val="en-US"/>
        </w:rPr>
      </w:pPr>
    </w:p>
    <w:p w:rsidR="00EC5B91" w:rsidRPr="002B1712" w:rsidRDefault="00EC5B91" w:rsidP="00EC5B91">
      <w:pPr>
        <w:ind w:left="-3"/>
        <w:jc w:val="both"/>
        <w:rPr>
          <w:rFonts w:ascii="Arial" w:hAnsi="Arial" w:cs="Arial"/>
          <w:sz w:val="20"/>
          <w:szCs w:val="20"/>
          <w:lang w:val="en-US"/>
        </w:rPr>
      </w:pPr>
    </w:p>
    <w:p w:rsidR="00EC5B91" w:rsidRPr="002B1712" w:rsidRDefault="00EC5B91" w:rsidP="00EC5B91">
      <w:pPr>
        <w:rPr>
          <w:rFonts w:ascii="Arial" w:hAnsi="Arial" w:cs="Arial"/>
          <w:sz w:val="20"/>
          <w:szCs w:val="20"/>
          <w:lang w:val="en-GB"/>
        </w:rPr>
      </w:pPr>
    </w:p>
    <w:p w:rsidR="00E64B6C" w:rsidRPr="002B1712" w:rsidRDefault="00E64B6C">
      <w:pPr>
        <w:rPr>
          <w:rFonts w:ascii="Arial" w:hAnsi="Arial" w:cs="Arial"/>
          <w:sz w:val="20"/>
          <w:szCs w:val="20"/>
          <w:lang w:val="en-GB"/>
        </w:rPr>
      </w:pPr>
    </w:p>
    <w:p w:rsidR="00EC5B91" w:rsidRPr="002B1712" w:rsidRDefault="00EC5B91">
      <w:pPr>
        <w:rPr>
          <w:rFonts w:ascii="Arial" w:hAnsi="Arial" w:cs="Arial"/>
          <w:sz w:val="20"/>
          <w:szCs w:val="20"/>
          <w:lang w:val="en-US"/>
        </w:rPr>
      </w:pPr>
    </w:p>
    <w:p w:rsidR="00EC5B91" w:rsidRPr="002B1712" w:rsidRDefault="00EC5B91">
      <w:pPr>
        <w:rPr>
          <w:rFonts w:ascii="Arial" w:hAnsi="Arial" w:cs="Arial"/>
          <w:sz w:val="20"/>
          <w:szCs w:val="20"/>
          <w:lang w:val="en-US"/>
        </w:rPr>
      </w:pPr>
    </w:p>
    <w:p w:rsidR="00EC5B91" w:rsidRPr="002B1712" w:rsidRDefault="00EC5B91">
      <w:pPr>
        <w:rPr>
          <w:rFonts w:ascii="Arial" w:hAnsi="Arial" w:cs="Arial"/>
          <w:sz w:val="20"/>
          <w:szCs w:val="20"/>
          <w:lang w:val="en-US"/>
        </w:rPr>
      </w:pPr>
    </w:p>
    <w:p w:rsidR="00EC5B91" w:rsidRPr="002B1712" w:rsidRDefault="00EC5B91">
      <w:pPr>
        <w:rPr>
          <w:rFonts w:ascii="Arial" w:hAnsi="Arial" w:cs="Arial"/>
          <w:sz w:val="20"/>
          <w:szCs w:val="20"/>
          <w:lang w:val="en-US"/>
        </w:rPr>
      </w:pPr>
    </w:p>
    <w:sectPr w:rsidR="00EC5B91" w:rsidRPr="002B1712" w:rsidSect="00A17854">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31ABD"/>
    <w:multiLevelType w:val="hybridMultilevel"/>
    <w:tmpl w:val="103AC6B6"/>
    <w:styleLink w:val="Style5import0"/>
    <w:lvl w:ilvl="0" w:tplc="B0B20E0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B06B05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4601B1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5F0D67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F76422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4FA86C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C0E1044">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032F63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FEED6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625E71C5"/>
    <w:multiLevelType w:val="hybridMultilevel"/>
    <w:tmpl w:val="103AC6B6"/>
    <w:numStyleLink w:val="Style5import0"/>
  </w:abstractNum>
  <w:abstractNum w:abstractNumId="2" w15:restartNumberingAfterBreak="0">
    <w:nsid w:val="6D622985"/>
    <w:multiLevelType w:val="hybridMultilevel"/>
    <w:tmpl w:val="02F27E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B6C"/>
    <w:rsid w:val="00176484"/>
    <w:rsid w:val="001C5BD5"/>
    <w:rsid w:val="001E4FF3"/>
    <w:rsid w:val="00255D52"/>
    <w:rsid w:val="00296CF0"/>
    <w:rsid w:val="002B1712"/>
    <w:rsid w:val="0037229F"/>
    <w:rsid w:val="004A7712"/>
    <w:rsid w:val="00586203"/>
    <w:rsid w:val="005942F0"/>
    <w:rsid w:val="00604433"/>
    <w:rsid w:val="006C18D8"/>
    <w:rsid w:val="006D764D"/>
    <w:rsid w:val="00761664"/>
    <w:rsid w:val="00793601"/>
    <w:rsid w:val="00832802"/>
    <w:rsid w:val="00881081"/>
    <w:rsid w:val="00920576"/>
    <w:rsid w:val="009B0313"/>
    <w:rsid w:val="00A17854"/>
    <w:rsid w:val="00BE39EF"/>
    <w:rsid w:val="00E64B6C"/>
    <w:rsid w:val="00EB7FE1"/>
    <w:rsid w:val="00EC5B9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1451CD-9882-A44C-80FB-9B21E5375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Light" w:eastAsiaTheme="minorHAnsi" w:hAnsi="Calibri Light" w:cs="Calibri Light"/>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B6C"/>
    <w:pPr>
      <w:spacing w:after="160" w:line="259" w:lineRule="auto"/>
    </w:pPr>
    <w:rPr>
      <w:rFonts w:cstheme="minorBidi"/>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64B6C"/>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E64B6C"/>
    <w:rPr>
      <w:rFonts w:ascii="Times New Roman" w:hAnsi="Times New Roman" w:cs="Times New Roman"/>
      <w:sz w:val="18"/>
      <w:szCs w:val="18"/>
    </w:rPr>
  </w:style>
  <w:style w:type="paragraph" w:customStyle="1" w:styleId="CorpsA">
    <w:name w:val="Corps A"/>
    <w:rsid w:val="00E64B6C"/>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eastAsia="fr-FR"/>
    </w:rPr>
  </w:style>
  <w:style w:type="paragraph" w:styleId="Prrafodelista">
    <w:name w:val="List Paragraph"/>
    <w:link w:val="PrrafodelistaCar"/>
    <w:uiPriority w:val="34"/>
    <w:qFormat/>
    <w:rsid w:val="00E64B6C"/>
    <w:pPr>
      <w:pBdr>
        <w:top w:val="nil"/>
        <w:left w:val="nil"/>
        <w:bottom w:val="nil"/>
        <w:right w:val="nil"/>
        <w:between w:val="nil"/>
        <w:bar w:val="nil"/>
      </w:pBdr>
      <w:spacing w:after="160" w:line="259" w:lineRule="auto"/>
      <w:ind w:left="720"/>
    </w:pPr>
    <w:rPr>
      <w:rFonts w:ascii="Calibri" w:eastAsia="Calibri" w:hAnsi="Calibri" w:cs="Calibri"/>
      <w:color w:val="000000"/>
      <w:u w:color="000000"/>
      <w:bdr w:val="nil"/>
      <w:lang w:val="fr-FR" w:eastAsia="fr-FR"/>
    </w:rPr>
  </w:style>
  <w:style w:type="paragraph" w:customStyle="1" w:styleId="Corps">
    <w:name w:val="Corps"/>
    <w:rsid w:val="00E64B6C"/>
    <w:pPr>
      <w:pBdr>
        <w:top w:val="nil"/>
        <w:left w:val="nil"/>
        <w:bottom w:val="nil"/>
        <w:right w:val="nil"/>
        <w:between w:val="nil"/>
        <w:bar w:val="nil"/>
      </w:pBdr>
    </w:pPr>
    <w:rPr>
      <w:rFonts w:ascii="Times New Roman" w:eastAsia="Times New Roman" w:hAnsi="Times New Roman" w:cs="Times New Roman"/>
      <w:color w:val="000000"/>
      <w:sz w:val="24"/>
      <w:szCs w:val="24"/>
      <w:u w:color="000000"/>
      <w:bdr w:val="nil"/>
      <w:lang w:val="fr-FR" w:eastAsia="fr-FR"/>
    </w:rPr>
  </w:style>
  <w:style w:type="character" w:customStyle="1" w:styleId="AucunA">
    <w:name w:val="Aucun A"/>
    <w:rsid w:val="00E64B6C"/>
    <w:rPr>
      <w:lang w:val="en-US"/>
    </w:rPr>
  </w:style>
  <w:style w:type="numbering" w:customStyle="1" w:styleId="Style5import0">
    <w:name w:val="Style 5 importé.0"/>
    <w:rsid w:val="00E64B6C"/>
    <w:pPr>
      <w:numPr>
        <w:numId w:val="1"/>
      </w:numPr>
    </w:pPr>
  </w:style>
  <w:style w:type="character" w:customStyle="1" w:styleId="PrrafodelistaCar">
    <w:name w:val="Párrafo de lista Car"/>
    <w:link w:val="Prrafodelista"/>
    <w:locked/>
    <w:rsid w:val="00E64B6C"/>
    <w:rPr>
      <w:rFonts w:ascii="Calibri" w:eastAsia="Calibri" w:hAnsi="Calibri" w:cs="Calibri"/>
      <w:color w:val="000000"/>
      <w:u w:color="000000"/>
      <w:bdr w:val="nil"/>
      <w:lang w:val="fr-FR" w:eastAsia="fr-FR"/>
    </w:rPr>
  </w:style>
  <w:style w:type="table" w:styleId="Listamedia2">
    <w:name w:val="Medium List 2"/>
    <w:basedOn w:val="Tablanormal"/>
    <w:uiPriority w:val="66"/>
    <w:rsid w:val="00EC5B91"/>
    <w:rPr>
      <w:rFonts w:asciiTheme="majorHAnsi" w:eastAsiaTheme="majorEastAsia" w:hAnsiTheme="majorHAnsi" w:cstheme="majorBidi"/>
      <w:color w:val="000000" w:themeColor="text1"/>
      <w:lang w:val="fr-FR"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1296</Words>
  <Characters>7130</Characters>
  <Application>Microsoft Office Word</Application>
  <DocSecurity>0</DocSecurity>
  <Lines>59</Lines>
  <Paragraphs>16</Paragraphs>
  <ScaleCrop>false</ScaleCrop>
  <Company/>
  <LinksUpToDate>false</LinksUpToDate>
  <CharactersWithSpaces>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Enric Grau</dc:creator>
  <cp:keywords/>
  <dc:description/>
  <cp:lastModifiedBy>Enric Grau</cp:lastModifiedBy>
  <cp:revision>6</cp:revision>
  <dcterms:created xsi:type="dcterms:W3CDTF">2019-09-15T16:02:00Z</dcterms:created>
  <dcterms:modified xsi:type="dcterms:W3CDTF">2019-11-01T17:59:00Z</dcterms:modified>
</cp:coreProperties>
</file>