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FA97" w14:textId="77777777" w:rsidR="005B6B4E" w:rsidRDefault="005B6B4E">
      <w:pPr>
        <w:pStyle w:val="BodyText"/>
        <w:spacing w:before="1"/>
        <w:rPr>
          <w:rFonts w:ascii="Times New Roman"/>
          <w:b w:val="0"/>
          <w:sz w:val="26"/>
        </w:rPr>
      </w:pPr>
    </w:p>
    <w:p w14:paraId="3D4F3F0F" w14:textId="77777777" w:rsidR="005B6B4E" w:rsidRDefault="004D5563">
      <w:pPr>
        <w:pStyle w:val="BodyText"/>
        <w:ind w:left="53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73D5B5F" wp14:editId="37E72CB2">
            <wp:extent cx="1726954" cy="5819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954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F1E0" w14:textId="77777777" w:rsidR="005B6B4E" w:rsidRDefault="005B6B4E">
      <w:pPr>
        <w:pStyle w:val="BodyText"/>
        <w:spacing w:before="4"/>
        <w:rPr>
          <w:rFonts w:ascii="Times New Roman"/>
          <w:b w:val="0"/>
          <w:sz w:val="12"/>
        </w:rPr>
      </w:pPr>
    </w:p>
    <w:p w14:paraId="5175E688" w14:textId="0D7B96F5" w:rsidR="005B6B4E" w:rsidRDefault="004D5563">
      <w:pPr>
        <w:pStyle w:val="BodyText"/>
        <w:spacing w:before="52"/>
        <w:ind w:left="2259" w:right="2895"/>
        <w:jc w:val="center"/>
        <w:rPr>
          <w:u w:val="single"/>
        </w:rPr>
      </w:pPr>
      <w:r>
        <w:rPr>
          <w:u w:val="single"/>
        </w:rPr>
        <w:t>QUESTIONS AND ANSWERS SHEET.</w:t>
      </w:r>
    </w:p>
    <w:p w14:paraId="595AFF68" w14:textId="77777777" w:rsidR="00886EF6" w:rsidRDefault="00886EF6">
      <w:pPr>
        <w:pStyle w:val="BodyText"/>
        <w:spacing w:before="52"/>
        <w:ind w:left="2259" w:right="2895"/>
        <w:jc w:val="center"/>
      </w:pPr>
    </w:p>
    <w:p w14:paraId="3319C62D" w14:textId="7B2B6A0B" w:rsidR="005B6B4E" w:rsidRDefault="00DB0074" w:rsidP="2951CD1D">
      <w:pPr>
        <w:spacing w:before="182"/>
        <w:ind w:right="-57"/>
        <w:jc w:val="center"/>
      </w:pPr>
      <w:r>
        <w:t>REQUEST FOR PROPOSAL</w:t>
      </w:r>
      <w:r w:rsidR="004D5563">
        <w:t xml:space="preserve"> NO. 202</w:t>
      </w:r>
      <w:r>
        <w:t>4</w:t>
      </w:r>
      <w:r w:rsidR="004D5563">
        <w:t>/SOP/SCU/</w:t>
      </w:r>
      <w:r>
        <w:t>RF</w:t>
      </w:r>
      <w:r w:rsidR="423D25B3">
        <w:t>Q</w:t>
      </w:r>
      <w:r w:rsidR="004D5563">
        <w:t>/0</w:t>
      </w:r>
      <w:r w:rsidR="1D044B74">
        <w:t>2</w:t>
      </w:r>
      <w:r w:rsidR="00350FB1">
        <w:t>6</w:t>
      </w:r>
    </w:p>
    <w:p w14:paraId="7ED46CDB" w14:textId="77777777" w:rsidR="005B6B4E" w:rsidRDefault="005B6B4E">
      <w:pPr>
        <w:spacing w:before="2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6182"/>
        <w:gridCol w:w="6804"/>
      </w:tblGrid>
      <w:tr w:rsidR="005B6B4E" w14:paraId="4B76D12A" w14:textId="77777777" w:rsidTr="2951CD1D">
        <w:trPr>
          <w:trHeight w:val="450"/>
        </w:trPr>
        <w:tc>
          <w:tcPr>
            <w:tcW w:w="788" w:type="dxa"/>
          </w:tcPr>
          <w:p w14:paraId="36611CD3" w14:textId="77777777" w:rsidR="005B6B4E" w:rsidRDefault="004D5563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6182" w:type="dxa"/>
          </w:tcPr>
          <w:p w14:paraId="469B8984" w14:textId="77777777" w:rsidR="005B6B4E" w:rsidRDefault="004D5563">
            <w:pPr>
              <w:pStyle w:val="TableParagraph"/>
              <w:spacing w:line="292" w:lineRule="exact"/>
              <w:ind w:left="2321" w:right="2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6804" w:type="dxa"/>
          </w:tcPr>
          <w:p w14:paraId="57F77600" w14:textId="77777777" w:rsidR="005B6B4E" w:rsidRDefault="004D5563">
            <w:pPr>
              <w:pStyle w:val="TableParagraph"/>
              <w:spacing w:line="292" w:lineRule="exact"/>
              <w:ind w:left="2079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UNHCR ANSWERS/RESPONSE</w:t>
            </w:r>
          </w:p>
        </w:tc>
      </w:tr>
      <w:tr w:rsidR="005B6B4E" w:rsidRPr="003F41EA" w14:paraId="4EF440F2" w14:textId="77777777" w:rsidTr="2951CD1D">
        <w:trPr>
          <w:trHeight w:val="1253"/>
        </w:trPr>
        <w:tc>
          <w:tcPr>
            <w:tcW w:w="788" w:type="dxa"/>
          </w:tcPr>
          <w:p w14:paraId="28431911" w14:textId="77777777" w:rsidR="005B6B4E" w:rsidRPr="003F41EA" w:rsidRDefault="004D5563">
            <w:pPr>
              <w:pStyle w:val="TableParagraph"/>
              <w:spacing w:line="292" w:lineRule="exact"/>
            </w:pPr>
            <w:r w:rsidRPr="003F41EA">
              <w:t>1.</w:t>
            </w:r>
          </w:p>
        </w:tc>
        <w:tc>
          <w:tcPr>
            <w:tcW w:w="6182" w:type="dxa"/>
          </w:tcPr>
          <w:p w14:paraId="19946750" w14:textId="424F3A84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As per your REF# 2024/SOP/SCU/RFQ/026, please clear the below queries before submitting the prices. </w:t>
            </w:r>
          </w:p>
          <w:p w14:paraId="611554B1" w14:textId="2CA3B19E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  </w:t>
            </w:r>
          </w:p>
          <w:p w14:paraId="18B09DE1" w14:textId="1AC5F45E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1: Please let us know the base/floor of the structure.  </w:t>
            </w:r>
          </w:p>
          <w:p w14:paraId="2A52BC1F" w14:textId="24B17283" w:rsidR="00B2581D" w:rsidRPr="003F41EA" w:rsidRDefault="1C3B5972" w:rsidP="7C64311D">
            <w:pPr>
              <w:rPr>
                <w:rFonts w:ascii="Calibri" w:eastAsia="Calibri" w:hAnsi="Calibri" w:cs="Calibri"/>
              </w:rPr>
            </w:pPr>
            <w:r w:rsidRPr="7C64311D">
              <w:rPr>
                <w:rFonts w:ascii="Calibri" w:eastAsia="Calibri" w:hAnsi="Calibri" w:cs="Calibri"/>
              </w:rPr>
              <w:t xml:space="preserve">2: If possible, please share the drawing of all the offices.  </w:t>
            </w:r>
          </w:p>
          <w:p w14:paraId="351476AF" w14:textId="1AC31F60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3: what will be the flooring Tiles/PVC Flooring if yes please share the drawings  </w:t>
            </w:r>
          </w:p>
          <w:p w14:paraId="0145FC7D" w14:textId="2601B759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4: Is it possible to visit the site before submitting an offer? </w:t>
            </w:r>
          </w:p>
          <w:p w14:paraId="305D4D7E" w14:textId="43AFE438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5: do we need to do the electrical work, if yes please share the drawings.  </w:t>
            </w:r>
          </w:p>
          <w:p w14:paraId="2C394E21" w14:textId="35599DC6" w:rsidR="00B2581D" w:rsidRPr="003F41EA" w:rsidRDefault="1C3B5972" w:rsidP="7C64311D">
            <w:r w:rsidRPr="7C64311D">
              <w:rPr>
                <w:rFonts w:ascii="Calibri" w:eastAsia="Calibri" w:hAnsi="Calibri" w:cs="Calibri"/>
              </w:rPr>
              <w:t xml:space="preserve">6: Plumbing work?  </w:t>
            </w:r>
          </w:p>
          <w:p w14:paraId="31256EBA" w14:textId="0C8DF412" w:rsidR="00B2581D" w:rsidRPr="003F41EA" w:rsidRDefault="00B2581D" w:rsidP="002176E9">
            <w:pPr>
              <w:rPr>
                <w:rFonts w:eastAsia="Times New Roman"/>
              </w:rPr>
            </w:pPr>
          </w:p>
        </w:tc>
        <w:tc>
          <w:tcPr>
            <w:tcW w:w="6804" w:type="dxa"/>
          </w:tcPr>
          <w:p w14:paraId="0415AF57" w14:textId="562E7BC3" w:rsidR="007C67CE" w:rsidRPr="003F41EA" w:rsidRDefault="7B1D4870" w:rsidP="00350FB1">
            <w:r w:rsidRPr="00350FB1">
              <w:rPr>
                <w:rFonts w:ascii="Calibri" w:eastAsia="Calibri" w:hAnsi="Calibri" w:cs="Calibri"/>
              </w:rPr>
              <w:t xml:space="preserve">Following confirmation from the engineering unit, it has been determined that no drawings are available for the premises. However, as stipulated in the tender </w:t>
            </w:r>
            <w:r w:rsidR="00C309CC">
              <w:rPr>
                <w:rFonts w:ascii="Calibri" w:eastAsia="Calibri" w:hAnsi="Calibri" w:cs="Calibri"/>
              </w:rPr>
              <w:t xml:space="preserve">document </w:t>
            </w:r>
            <w:r w:rsidR="12AFC8E1" w:rsidRPr="00350FB1">
              <w:rPr>
                <w:rFonts w:ascii="Calibri" w:eastAsia="Calibri" w:hAnsi="Calibri" w:cs="Calibri"/>
              </w:rPr>
              <w:t>Annex A (</w:t>
            </w:r>
            <w:proofErr w:type="spellStart"/>
            <w:r w:rsidR="12AFC8E1" w:rsidRPr="00350FB1">
              <w:rPr>
                <w:rFonts w:ascii="Calibri" w:eastAsia="Calibri" w:hAnsi="Calibri" w:cs="Calibri"/>
              </w:rPr>
              <w:t>S.No</w:t>
            </w:r>
            <w:proofErr w:type="spellEnd"/>
            <w:r w:rsidR="12AFC8E1" w:rsidRPr="00350FB1">
              <w:rPr>
                <w:rFonts w:ascii="Calibri" w:eastAsia="Calibri" w:hAnsi="Calibri" w:cs="Calibri"/>
              </w:rPr>
              <w:t xml:space="preserve"> 10) </w:t>
            </w:r>
            <w:r w:rsidRPr="00350FB1">
              <w:rPr>
                <w:rFonts w:ascii="Calibri" w:eastAsia="Calibri" w:hAnsi="Calibri" w:cs="Calibri"/>
              </w:rPr>
              <w:t>suppliers are permitted to conduct a site visit to the UNHCR Sub-Office in Peshawar prior to submitting their quotes in order to inspect the premises.</w:t>
            </w:r>
            <w:r w:rsidR="00B276AE">
              <w:rPr>
                <w:rFonts w:ascii="Calibri" w:eastAsia="Calibri" w:hAnsi="Calibri" w:cs="Calibri"/>
              </w:rPr>
              <w:t xml:space="preserve"> No electrical &amp; Plumbing works are required or involved. </w:t>
            </w:r>
          </w:p>
        </w:tc>
      </w:tr>
      <w:tr w:rsidR="005B6B4E" w:rsidRPr="003F41EA" w14:paraId="1B494B19" w14:textId="77777777" w:rsidTr="2951CD1D">
        <w:trPr>
          <w:trHeight w:val="3390"/>
        </w:trPr>
        <w:tc>
          <w:tcPr>
            <w:tcW w:w="788" w:type="dxa"/>
          </w:tcPr>
          <w:p w14:paraId="0B6C616E" w14:textId="0CEA95B2" w:rsidR="005B6B4E" w:rsidRPr="003F41EA" w:rsidRDefault="00135775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6182" w:type="dxa"/>
          </w:tcPr>
          <w:p w14:paraId="1872933C" w14:textId="494946A2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>We have noticed your Call for Quotation Ref as above, where we require clarification regarding the Protection sheets.</w:t>
            </w:r>
          </w:p>
          <w:p w14:paraId="198BA2BD" w14:textId="0593040C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 xml:space="preserve"> </w:t>
            </w:r>
          </w:p>
          <w:p w14:paraId="471BF845" w14:textId="7F387747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 xml:space="preserve">In the Heading of the RFQ - Call for Quotation for Ballistic Protection is required, but in the description / detail specifications Plain Sheet has been mentioned, </w:t>
            </w:r>
          </w:p>
          <w:p w14:paraId="737CC695" w14:textId="1D390CCE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 xml:space="preserve"> </w:t>
            </w:r>
          </w:p>
          <w:p w14:paraId="054F3F36" w14:textId="0977A471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 xml:space="preserve">We are required to confirm whether "Plain sheet is M.S Sheet </w:t>
            </w:r>
          </w:p>
          <w:p w14:paraId="5FB5AB07" w14:textId="52995F7E" w:rsidR="00634EA8" w:rsidRPr="00350FB1" w:rsidRDefault="224F10D3" w:rsidP="2951CD1D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>OR</w:t>
            </w:r>
          </w:p>
          <w:p w14:paraId="57E26072" w14:textId="0DAFC42F" w:rsidR="00634EA8" w:rsidRPr="009E6A02" w:rsidRDefault="224F10D3" w:rsidP="2951CD1D">
            <w:r w:rsidRPr="00350FB1">
              <w:rPr>
                <w:rFonts w:ascii="Calibri" w:eastAsia="Calibri" w:hAnsi="Calibri" w:cs="Calibri"/>
              </w:rPr>
              <w:t xml:space="preserve">if it is ballistic sheet, what level of protection is required (whether </w:t>
            </w:r>
            <w:r w:rsidR="36A5D1A3" w:rsidRPr="00350FB1">
              <w:rPr>
                <w:rFonts w:ascii="Calibri" w:eastAsia="Calibri" w:hAnsi="Calibri" w:cs="Calibri"/>
              </w:rPr>
              <w:t>Level B5</w:t>
            </w:r>
            <w:r w:rsidRPr="00350FB1">
              <w:rPr>
                <w:rFonts w:ascii="Calibri" w:eastAsia="Calibri" w:hAnsi="Calibri" w:cs="Calibri"/>
              </w:rPr>
              <w:t>, B6 or any other)</w:t>
            </w:r>
          </w:p>
        </w:tc>
        <w:tc>
          <w:tcPr>
            <w:tcW w:w="6804" w:type="dxa"/>
          </w:tcPr>
          <w:p w14:paraId="02EEB959" w14:textId="1DE455C9" w:rsidR="00510D50" w:rsidRPr="0036441F" w:rsidRDefault="023E2DD7" w:rsidP="00350FB1">
            <w:r w:rsidRPr="00350FB1">
              <w:rPr>
                <w:rFonts w:ascii="Calibri" w:eastAsia="Calibri" w:hAnsi="Calibri" w:cs="Calibri"/>
              </w:rPr>
              <w:t xml:space="preserve">Following confirmation from the engineering unit, UNHCR requires plain </w:t>
            </w:r>
            <w:r w:rsidR="00B276AE">
              <w:rPr>
                <w:rFonts w:ascii="Calibri" w:eastAsia="Calibri" w:hAnsi="Calibri" w:cs="Calibri"/>
              </w:rPr>
              <w:t xml:space="preserve">steel </w:t>
            </w:r>
            <w:r w:rsidRPr="00350FB1">
              <w:rPr>
                <w:rFonts w:ascii="Calibri" w:eastAsia="Calibri" w:hAnsi="Calibri" w:cs="Calibri"/>
              </w:rPr>
              <w:t>sheets</w:t>
            </w:r>
            <w:r w:rsidR="00B276AE">
              <w:rPr>
                <w:rFonts w:ascii="Calibri" w:eastAsia="Calibri" w:hAnsi="Calibri" w:cs="Calibri"/>
              </w:rPr>
              <w:t xml:space="preserve"> of 16 gauge</w:t>
            </w:r>
            <w:r w:rsidRPr="00350FB1">
              <w:rPr>
                <w:rFonts w:ascii="Calibri" w:eastAsia="Calibri" w:hAnsi="Calibri" w:cs="Calibri"/>
              </w:rPr>
              <w:t>. Detailed specifications and requirements are provided in Annex B. Suppliers can conduct a site visit to the UNHCR Sub-Office in Peshawar before submitting their quotes to inspect the premises.</w:t>
            </w:r>
          </w:p>
        </w:tc>
      </w:tr>
      <w:tr w:rsidR="000E13A2" w:rsidRPr="003F41EA" w14:paraId="3FC91312" w14:textId="77777777" w:rsidTr="2951CD1D">
        <w:trPr>
          <w:trHeight w:val="3390"/>
        </w:trPr>
        <w:tc>
          <w:tcPr>
            <w:tcW w:w="788" w:type="dxa"/>
          </w:tcPr>
          <w:p w14:paraId="0FEBC065" w14:textId="77777777" w:rsidR="000E13A2" w:rsidRDefault="000E13A2">
            <w:pPr>
              <w:pStyle w:val="TableParagraph"/>
              <w:spacing w:before="1"/>
            </w:pPr>
          </w:p>
        </w:tc>
        <w:tc>
          <w:tcPr>
            <w:tcW w:w="6182" w:type="dxa"/>
          </w:tcPr>
          <w:p w14:paraId="1B51A42E" w14:textId="027D0349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  <w:r w:rsidRPr="000E13A2">
              <w:rPr>
                <w:rFonts w:ascii="Calibri" w:eastAsia="Calibri" w:hAnsi="Calibri" w:cs="Calibri"/>
              </w:rPr>
              <w:t>We have some quires as below.</w:t>
            </w:r>
          </w:p>
          <w:p w14:paraId="2614430B" w14:textId="77777777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</w:p>
          <w:p w14:paraId="725CB7AA" w14:textId="5BD904EC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  <w:r w:rsidRPr="000E13A2">
              <w:rPr>
                <w:rFonts w:ascii="Calibri" w:eastAsia="Calibri" w:hAnsi="Calibri" w:cs="Calibri"/>
              </w:rPr>
              <w:t>1- can you share the existing picture of containers?</w:t>
            </w:r>
          </w:p>
          <w:p w14:paraId="69FED736" w14:textId="77777777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  <w:r w:rsidRPr="000E13A2">
              <w:rPr>
                <w:rFonts w:ascii="Calibri" w:eastAsia="Calibri" w:hAnsi="Calibri" w:cs="Calibri"/>
              </w:rPr>
              <w:t>2-Is it include the paint work?</w:t>
            </w:r>
          </w:p>
          <w:p w14:paraId="70932687" w14:textId="11B3F0F8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  <w:r w:rsidRPr="000E13A2">
              <w:rPr>
                <w:rFonts w:ascii="Calibri" w:eastAsia="Calibri" w:hAnsi="Calibri" w:cs="Calibri"/>
              </w:rPr>
              <w:t>3-Is it the insulation include in this job?</w:t>
            </w:r>
          </w:p>
          <w:p w14:paraId="583A092B" w14:textId="77777777" w:rsidR="000E13A2" w:rsidRPr="000E13A2" w:rsidRDefault="000E13A2" w:rsidP="000E13A2">
            <w:pPr>
              <w:rPr>
                <w:rFonts w:ascii="Calibri" w:eastAsia="Calibri" w:hAnsi="Calibri" w:cs="Calibri"/>
              </w:rPr>
            </w:pPr>
          </w:p>
          <w:p w14:paraId="62409112" w14:textId="77777777" w:rsidR="000E13A2" w:rsidRPr="00350FB1" w:rsidRDefault="000E13A2" w:rsidP="2951CD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</w:tcPr>
          <w:p w14:paraId="620A4A16" w14:textId="0621C6C2" w:rsidR="000E13A2" w:rsidRPr="00350FB1" w:rsidRDefault="00E30ABB" w:rsidP="00350FB1">
            <w:pPr>
              <w:rPr>
                <w:rFonts w:ascii="Calibri" w:eastAsia="Calibri" w:hAnsi="Calibri" w:cs="Calibri"/>
              </w:rPr>
            </w:pPr>
            <w:r w:rsidRPr="00350FB1">
              <w:rPr>
                <w:rFonts w:ascii="Calibri" w:eastAsia="Calibri" w:hAnsi="Calibri" w:cs="Calibri"/>
              </w:rPr>
              <w:t>Following confirmation from the engineering unit,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276AE" w:rsidRPr="00350FB1">
              <w:rPr>
                <w:rFonts w:ascii="Calibri" w:eastAsia="Calibri" w:hAnsi="Calibri" w:cs="Calibri"/>
              </w:rPr>
              <w:t xml:space="preserve">as stipulated in the tender </w:t>
            </w:r>
            <w:r w:rsidR="00B276AE">
              <w:rPr>
                <w:rFonts w:ascii="Calibri" w:eastAsia="Calibri" w:hAnsi="Calibri" w:cs="Calibri"/>
              </w:rPr>
              <w:t xml:space="preserve">document </w:t>
            </w:r>
            <w:r w:rsidR="00B276AE" w:rsidRPr="00350FB1">
              <w:rPr>
                <w:rFonts w:ascii="Calibri" w:eastAsia="Calibri" w:hAnsi="Calibri" w:cs="Calibri"/>
              </w:rPr>
              <w:t>Annex A (</w:t>
            </w:r>
            <w:proofErr w:type="spellStart"/>
            <w:r w:rsidR="00B276AE" w:rsidRPr="00350FB1">
              <w:rPr>
                <w:rFonts w:ascii="Calibri" w:eastAsia="Calibri" w:hAnsi="Calibri" w:cs="Calibri"/>
              </w:rPr>
              <w:t>S.No</w:t>
            </w:r>
            <w:proofErr w:type="spellEnd"/>
            <w:r w:rsidR="00B276AE" w:rsidRPr="00350FB1">
              <w:rPr>
                <w:rFonts w:ascii="Calibri" w:eastAsia="Calibri" w:hAnsi="Calibri" w:cs="Calibri"/>
              </w:rPr>
              <w:t xml:space="preserve"> 10) suppliers are permitted to conduct a site visit to the UNHCR Sub-Office in Peshawar prior to submitting their quotes in order to inspect the premises</w:t>
            </w:r>
            <w:r w:rsidR="00B276AE">
              <w:rPr>
                <w:rFonts w:ascii="Calibri" w:eastAsia="Calibri" w:hAnsi="Calibri" w:cs="Calibri"/>
              </w:rPr>
              <w:t xml:space="preserve">. The steel sheets would require paint works for aesthetic reasons. No insulation is included in the job. </w:t>
            </w:r>
          </w:p>
        </w:tc>
      </w:tr>
    </w:tbl>
    <w:p w14:paraId="746EC106" w14:textId="44DC1908" w:rsidR="2951CD1D" w:rsidRDefault="2951CD1D"/>
    <w:p w14:paraId="5D63A974" w14:textId="77777777" w:rsidR="005B6B4E" w:rsidRPr="003F41EA" w:rsidRDefault="005B6B4E">
      <w:pPr>
        <w:spacing w:before="7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2986"/>
      </w:tblGrid>
      <w:tr w:rsidR="005B6B4E" w14:paraId="252F7BE1" w14:textId="77777777" w:rsidTr="2951CD1D">
        <w:trPr>
          <w:trHeight w:val="386"/>
        </w:trPr>
        <w:tc>
          <w:tcPr>
            <w:tcW w:w="788" w:type="dxa"/>
          </w:tcPr>
          <w:p w14:paraId="7B4DA0D5" w14:textId="77777777" w:rsidR="005B6B4E" w:rsidRDefault="005B6B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986" w:type="dxa"/>
          </w:tcPr>
          <w:p w14:paraId="6C2010C0" w14:textId="14889CA1" w:rsidR="005B6B4E" w:rsidRDefault="68237C4A" w:rsidP="2951CD1D">
            <w:pPr>
              <w:pStyle w:val="TableParagraph"/>
              <w:spacing w:line="292" w:lineRule="exact"/>
              <w:ind w:left="5040" w:right="6218"/>
              <w:jc w:val="center"/>
              <w:rPr>
                <w:b/>
                <w:bCs/>
                <w:sz w:val="24"/>
                <w:szCs w:val="24"/>
              </w:rPr>
            </w:pPr>
            <w:r w:rsidRPr="2951CD1D">
              <w:rPr>
                <w:b/>
                <w:bCs/>
                <w:sz w:val="24"/>
                <w:szCs w:val="24"/>
              </w:rPr>
              <w:t>THE END</w:t>
            </w:r>
          </w:p>
        </w:tc>
      </w:tr>
    </w:tbl>
    <w:p w14:paraId="29B03065" w14:textId="77777777" w:rsidR="00977DB1" w:rsidRDefault="00977DB1"/>
    <w:sectPr w:rsidR="00977DB1">
      <w:pgSz w:w="15840" w:h="12240" w:orient="landscape"/>
      <w:pgMar w:top="114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STTzeEAvyuUYG" int2:id="0ppd1O8f">
      <int2:state int2:value="Rejected" int2:type="AugLoop_Text_Critique"/>
    </int2:textHash>
    <int2:textHash int2:hashCode="ZqKWd76V97H6VL" int2:id="TMvMZOb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366"/>
    <w:multiLevelType w:val="hybridMultilevel"/>
    <w:tmpl w:val="D50A9AF4"/>
    <w:lvl w:ilvl="0" w:tplc="4BF8D64C">
      <w:start w:val="1"/>
      <w:numFmt w:val="lowerRoman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03C2"/>
    <w:multiLevelType w:val="hybridMultilevel"/>
    <w:tmpl w:val="F898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7A96"/>
    <w:multiLevelType w:val="hybridMultilevel"/>
    <w:tmpl w:val="E4DC6C04"/>
    <w:lvl w:ilvl="0" w:tplc="37CAC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5CDA"/>
    <w:multiLevelType w:val="hybridMultilevel"/>
    <w:tmpl w:val="D946D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8006">
    <w:abstractNumId w:val="3"/>
  </w:num>
  <w:num w:numId="2" w16cid:durableId="15549697">
    <w:abstractNumId w:val="2"/>
  </w:num>
  <w:num w:numId="3" w16cid:durableId="183680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48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G0NLEwMjW0MDZW0lEKTi0uzszPAymwqAUAkUPrciwAAAA="/>
  </w:docVars>
  <w:rsids>
    <w:rsidRoot w:val="005B6B4E"/>
    <w:rsid w:val="0000166D"/>
    <w:rsid w:val="000030A4"/>
    <w:rsid w:val="000207B1"/>
    <w:rsid w:val="00047C89"/>
    <w:rsid w:val="00051E09"/>
    <w:rsid w:val="000565F9"/>
    <w:rsid w:val="00066FEF"/>
    <w:rsid w:val="000E13A2"/>
    <w:rsid w:val="0010423D"/>
    <w:rsid w:val="00135775"/>
    <w:rsid w:val="00142BCF"/>
    <w:rsid w:val="001631EB"/>
    <w:rsid w:val="00197D3C"/>
    <w:rsid w:val="001D43A0"/>
    <w:rsid w:val="001F0C24"/>
    <w:rsid w:val="00204834"/>
    <w:rsid w:val="0021192E"/>
    <w:rsid w:val="002176E9"/>
    <w:rsid w:val="00244650"/>
    <w:rsid w:val="0025376E"/>
    <w:rsid w:val="00253886"/>
    <w:rsid w:val="002B6836"/>
    <w:rsid w:val="002C37A4"/>
    <w:rsid w:val="002D2E2E"/>
    <w:rsid w:val="002F4974"/>
    <w:rsid w:val="00350FB1"/>
    <w:rsid w:val="00363241"/>
    <w:rsid w:val="0036441F"/>
    <w:rsid w:val="00394D0A"/>
    <w:rsid w:val="003A5DC3"/>
    <w:rsid w:val="003C190B"/>
    <w:rsid w:val="003D0BDF"/>
    <w:rsid w:val="003F2E5D"/>
    <w:rsid w:val="003F41EA"/>
    <w:rsid w:val="004074A4"/>
    <w:rsid w:val="00410BB7"/>
    <w:rsid w:val="0043249B"/>
    <w:rsid w:val="004554F6"/>
    <w:rsid w:val="0049266E"/>
    <w:rsid w:val="004B1362"/>
    <w:rsid w:val="004C4E69"/>
    <w:rsid w:val="004D5563"/>
    <w:rsid w:val="004F5228"/>
    <w:rsid w:val="005013AF"/>
    <w:rsid w:val="00504AFB"/>
    <w:rsid w:val="00510D50"/>
    <w:rsid w:val="005404B4"/>
    <w:rsid w:val="00542263"/>
    <w:rsid w:val="00545EB8"/>
    <w:rsid w:val="005B5F83"/>
    <w:rsid w:val="005B6B4E"/>
    <w:rsid w:val="005C480F"/>
    <w:rsid w:val="00620F74"/>
    <w:rsid w:val="00634EA8"/>
    <w:rsid w:val="00635BD9"/>
    <w:rsid w:val="006449EB"/>
    <w:rsid w:val="00655563"/>
    <w:rsid w:val="006974EA"/>
    <w:rsid w:val="006C0FE0"/>
    <w:rsid w:val="00726189"/>
    <w:rsid w:val="00735AB1"/>
    <w:rsid w:val="00736977"/>
    <w:rsid w:val="0073774C"/>
    <w:rsid w:val="00740EDD"/>
    <w:rsid w:val="007B4B52"/>
    <w:rsid w:val="007C67CE"/>
    <w:rsid w:val="007E2DF3"/>
    <w:rsid w:val="008327C1"/>
    <w:rsid w:val="00872F35"/>
    <w:rsid w:val="00882D6E"/>
    <w:rsid w:val="00886EF6"/>
    <w:rsid w:val="008B37E6"/>
    <w:rsid w:val="008C36F4"/>
    <w:rsid w:val="008C4335"/>
    <w:rsid w:val="008E73E5"/>
    <w:rsid w:val="008F464E"/>
    <w:rsid w:val="0092656B"/>
    <w:rsid w:val="00932DB2"/>
    <w:rsid w:val="00950B6E"/>
    <w:rsid w:val="00956511"/>
    <w:rsid w:val="00977DB1"/>
    <w:rsid w:val="00992E32"/>
    <w:rsid w:val="009E6A02"/>
    <w:rsid w:val="00A37E4C"/>
    <w:rsid w:val="00A43F50"/>
    <w:rsid w:val="00A710F7"/>
    <w:rsid w:val="00A8017E"/>
    <w:rsid w:val="00AE349B"/>
    <w:rsid w:val="00B06D1C"/>
    <w:rsid w:val="00B22EB3"/>
    <w:rsid w:val="00B2581D"/>
    <w:rsid w:val="00B276AE"/>
    <w:rsid w:val="00BA4F94"/>
    <w:rsid w:val="00BD7FDB"/>
    <w:rsid w:val="00BF241D"/>
    <w:rsid w:val="00C309CC"/>
    <w:rsid w:val="00C5516C"/>
    <w:rsid w:val="00CA5BBC"/>
    <w:rsid w:val="00CA759F"/>
    <w:rsid w:val="00CB531B"/>
    <w:rsid w:val="00CF727F"/>
    <w:rsid w:val="00D24369"/>
    <w:rsid w:val="00D523A2"/>
    <w:rsid w:val="00D80CB7"/>
    <w:rsid w:val="00DA0C74"/>
    <w:rsid w:val="00DB0074"/>
    <w:rsid w:val="00DB43D8"/>
    <w:rsid w:val="00DD0974"/>
    <w:rsid w:val="00DE6B02"/>
    <w:rsid w:val="00E15987"/>
    <w:rsid w:val="00E30862"/>
    <w:rsid w:val="00E30ABB"/>
    <w:rsid w:val="00E46263"/>
    <w:rsid w:val="00E548B4"/>
    <w:rsid w:val="00E84686"/>
    <w:rsid w:val="00EB1DA9"/>
    <w:rsid w:val="00F17860"/>
    <w:rsid w:val="00F337C8"/>
    <w:rsid w:val="00F4362C"/>
    <w:rsid w:val="00F869FD"/>
    <w:rsid w:val="00FD71CB"/>
    <w:rsid w:val="023E2DD7"/>
    <w:rsid w:val="0483E509"/>
    <w:rsid w:val="0A8ECB14"/>
    <w:rsid w:val="0BEEB3C7"/>
    <w:rsid w:val="0E88B0F4"/>
    <w:rsid w:val="101DC648"/>
    <w:rsid w:val="12AFC8E1"/>
    <w:rsid w:val="1AAFBE08"/>
    <w:rsid w:val="1C3B5972"/>
    <w:rsid w:val="1D044B74"/>
    <w:rsid w:val="224F10D3"/>
    <w:rsid w:val="27A88F33"/>
    <w:rsid w:val="2951CD1D"/>
    <w:rsid w:val="2C338F88"/>
    <w:rsid w:val="310838F8"/>
    <w:rsid w:val="36A5D1A3"/>
    <w:rsid w:val="423D25B3"/>
    <w:rsid w:val="42EB829E"/>
    <w:rsid w:val="44D4A36E"/>
    <w:rsid w:val="5460034B"/>
    <w:rsid w:val="55F9CACA"/>
    <w:rsid w:val="57C17276"/>
    <w:rsid w:val="57FADD30"/>
    <w:rsid w:val="59B51D85"/>
    <w:rsid w:val="5BC1A641"/>
    <w:rsid w:val="68237C4A"/>
    <w:rsid w:val="6B455333"/>
    <w:rsid w:val="6D35B87C"/>
    <w:rsid w:val="773EF359"/>
    <w:rsid w:val="775D454C"/>
    <w:rsid w:val="78D21949"/>
    <w:rsid w:val="7B1D4870"/>
    <w:rsid w:val="7C64311D"/>
    <w:rsid w:val="7D6E9631"/>
    <w:rsid w:val="7E8A4D16"/>
    <w:rsid w:val="7F73E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DBD3"/>
  <w15:docId w15:val="{47426E05-B6D2-4E13-9230-81F96E4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C43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483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BF241D"/>
    <w:pPr>
      <w:spacing w:after="200"/>
    </w:pPr>
    <w:rPr>
      <w:i/>
      <w:iCs/>
      <w:color w:val="1F497D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190B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90B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B22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31fb-db67-44b7-98c2-fef9ba88f4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E25C44970A40ABA38A9B0454CFF2" ma:contentTypeVersion="14" ma:contentTypeDescription="Create a new document." ma:contentTypeScope="" ma:versionID="ef640b9773f655ba1ee93d55282bf57c">
  <xsd:schema xmlns:xsd="http://www.w3.org/2001/XMLSchema" xmlns:xs="http://www.w3.org/2001/XMLSchema" xmlns:p="http://schemas.microsoft.com/office/2006/metadata/properties" xmlns:ns2="238431fb-db67-44b7-98c2-fef9ba88f4f3" xmlns:ns3="4c700c02-d9d7-47f7-9fba-878d2c1af7e9" targetNamespace="http://schemas.microsoft.com/office/2006/metadata/properties" ma:root="true" ma:fieldsID="c68538698f02109a71f031814d70dd98" ns2:_="" ns3:_="">
    <xsd:import namespace="238431fb-db67-44b7-98c2-fef9ba88f4f3"/>
    <xsd:import namespace="4c700c02-d9d7-47f7-9fba-878d2c1a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1fb-db67-44b7-98c2-fef9ba88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0c02-d9d7-47f7-9fba-878d2c1a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16B9E-EBC2-4661-B503-0932E1960817}">
  <ds:schemaRefs>
    <ds:schemaRef ds:uri="http://schemas.microsoft.com/office/2006/metadata/properties"/>
    <ds:schemaRef ds:uri="http://schemas.microsoft.com/office/infopath/2007/PartnerControls"/>
    <ds:schemaRef ds:uri="238431fb-db67-44b7-98c2-fef9ba88f4f3"/>
  </ds:schemaRefs>
</ds:datastoreItem>
</file>

<file path=customXml/itemProps2.xml><?xml version="1.0" encoding="utf-8"?>
<ds:datastoreItem xmlns:ds="http://schemas.openxmlformats.org/officeDocument/2006/customXml" ds:itemID="{64F82F2E-84A5-4733-9070-80DFD4083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DD378-B17D-408C-891A-B4A06D20C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31fb-db67-44b7-98c2-fef9ba88f4f3"/>
    <ds:schemaRef ds:uri="4c700c02-d9d7-47f7-9fba-878d2c1a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Kenyi</dc:creator>
  <cp:lastModifiedBy>Muhammad Abbas</cp:lastModifiedBy>
  <cp:revision>11</cp:revision>
  <cp:lastPrinted>2024-12-02T10:41:00Z</cp:lastPrinted>
  <dcterms:created xsi:type="dcterms:W3CDTF">2024-12-02T10:41:00Z</dcterms:created>
  <dcterms:modified xsi:type="dcterms:W3CDTF">2024-12-03T11:31:00Z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2022-06-24T00:00:00Z</vt:filetime>
  </property>
  <property fmtid="{D5CDD505-2E9C-101B-9397-08002B2CF9AE}" pid="5" name="GrammarlyDocumentId">
    <vt:lpwstr>d489c492bf8259449fa83deb5ad87c8437e07b77706d64537e07b691cbe132dc</vt:lpwstr>
  </property>
  <property fmtid="{D5CDD505-2E9C-101B-9397-08002B2CF9AE}" pid="6" name="ContentTypeId">
    <vt:lpwstr>0x010100607BE25C44970A40ABA38A9B0454CFF2</vt:lpwstr>
  </property>
  <property fmtid="{D5CDD505-2E9C-101B-9397-08002B2CF9AE}" pid="7" name="MediaServiceImageTags">
    <vt:lpwstr/>
  </property>
</Properties>
</file>