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5F69B" w14:textId="77777777" w:rsidR="0099454D" w:rsidRPr="000C1665" w:rsidRDefault="0099454D" w:rsidP="0099454D">
      <w:pPr>
        <w:bidi/>
        <w:jc w:val="center"/>
        <w:rPr>
          <w:b/>
          <w:bCs/>
          <w:color w:val="0070C0"/>
          <w:sz w:val="30"/>
          <w:szCs w:val="30"/>
          <w:rtl/>
        </w:rPr>
      </w:pPr>
      <w:r>
        <w:rPr>
          <w:rFonts w:hint="cs"/>
          <w:b/>
          <w:color w:val="0070C0"/>
          <w:sz w:val="30"/>
          <w:rtl/>
        </w:rPr>
        <w:t>الاختصاصات - منسق تحديد المصالح الفضلى (</w:t>
      </w:r>
      <w:r>
        <w:rPr>
          <w:b/>
          <w:color w:val="0070C0"/>
          <w:sz w:val="30"/>
        </w:rPr>
        <w:t>BID</w:t>
      </w:r>
      <w:r>
        <w:rPr>
          <w:rFonts w:hint="cs"/>
          <w:b/>
          <w:color w:val="0070C0"/>
          <w:sz w:val="30"/>
          <w:rtl/>
        </w:rPr>
        <w:t>)</w:t>
      </w:r>
    </w:p>
    <w:p w14:paraId="1DA26231" w14:textId="77777777" w:rsidR="0099454D" w:rsidRPr="0099454D" w:rsidRDefault="0099454D" w:rsidP="0099454D">
      <w:pPr>
        <w:bidi/>
        <w:jc w:val="center"/>
        <w:rPr>
          <w:color w:val="FF0000"/>
          <w:rtl/>
        </w:rPr>
      </w:pPr>
      <w:r>
        <w:rPr>
          <w:rFonts w:hint="cs"/>
          <w:color w:val="FF0000"/>
          <w:rtl/>
        </w:rPr>
        <w:t>(عينة)</w:t>
      </w:r>
    </w:p>
    <w:p w14:paraId="799DA905" w14:textId="77777777" w:rsidR="0099454D" w:rsidRDefault="0099454D"/>
    <w:p w14:paraId="306A2000" w14:textId="77777777" w:rsidR="00A05855" w:rsidRPr="000C1665" w:rsidRDefault="0099454D" w:rsidP="00A05855">
      <w:pPr>
        <w:bidi/>
        <w:rPr>
          <w:i/>
          <w:iCs/>
          <w:sz w:val="20"/>
          <w:szCs w:val="20"/>
          <w:rtl/>
        </w:rPr>
      </w:pPr>
      <w:r>
        <w:rPr>
          <w:rFonts w:hint="cs"/>
          <w:i/>
          <w:sz w:val="20"/>
          <w:rtl/>
        </w:rPr>
        <w:t>منسق تحديد المصالح الفضلى هو موظف يتم تحديده من داخل العملية (مكتب الفرع أو المكتب الفرعي) أو المكتب الإقليمي للاضطلاع بمسؤوليات الإشراف على الإعداد، والتفعيل، وضمان الاتساق، ودعم تنفيذ عملية تحديد المصالح الفضلى في أكثر من موقع (المكاتب داخل بلد التنفيذ أو العديد من الدول داخل المنطقة). يتولى تعيين منسق تحديد المصالح الفضلى كبير موظفي الحماية في العملية (في حالة المنسق داخل البلد) أو كبير موظفي الحماية الإقليمي أو مشرف حماية الطفل، الذي سيكون مسؤولًا أمامه.</w:t>
      </w:r>
    </w:p>
    <w:p w14:paraId="725A6B26" w14:textId="77777777" w:rsidR="0099454D" w:rsidRPr="000C1665" w:rsidRDefault="0099454D" w:rsidP="00C551E8">
      <w:pPr>
        <w:jc w:val="both"/>
        <w:rPr>
          <w:sz w:val="20"/>
          <w:szCs w:val="20"/>
        </w:rPr>
      </w:pPr>
    </w:p>
    <w:p w14:paraId="11CD9821" w14:textId="77777777" w:rsidR="0099454D" w:rsidRPr="000C1665" w:rsidRDefault="0099454D" w:rsidP="0099454D">
      <w:pPr>
        <w:rPr>
          <w:sz w:val="20"/>
          <w:szCs w:val="20"/>
        </w:rPr>
      </w:pPr>
    </w:p>
    <w:p w14:paraId="1751DF44" w14:textId="23884C74" w:rsidR="0099454D" w:rsidRDefault="00C44A7B" w:rsidP="0099454D">
      <w:pPr>
        <w:bidi/>
        <w:rPr>
          <w:i/>
          <w:iCs/>
          <w:sz w:val="20"/>
          <w:szCs w:val="20"/>
          <w:rtl/>
        </w:rPr>
      </w:pPr>
      <w:r>
        <w:rPr>
          <w:rFonts w:hint="cs"/>
          <w:i/>
          <w:sz w:val="20"/>
          <w:rtl/>
        </w:rPr>
        <w:t xml:space="preserve"> المسؤوليات:</w:t>
      </w:r>
    </w:p>
    <w:p w14:paraId="3EE9C134" w14:textId="77777777" w:rsidR="000C1665" w:rsidRPr="000C1665" w:rsidRDefault="000C1665" w:rsidP="0099454D">
      <w:pPr>
        <w:rPr>
          <w:i/>
          <w:iCs/>
          <w:sz w:val="20"/>
          <w:szCs w:val="20"/>
          <w:lang w:val="en-US"/>
        </w:rPr>
      </w:pPr>
    </w:p>
    <w:p w14:paraId="3AEEECCD" w14:textId="35FDC564" w:rsidR="00390569" w:rsidRPr="000C1665" w:rsidRDefault="00390569" w:rsidP="00390569">
      <w:pPr>
        <w:bidi/>
        <w:jc w:val="both"/>
        <w:rPr>
          <w:i/>
          <w:iCs/>
          <w:sz w:val="20"/>
          <w:szCs w:val="20"/>
          <w:rtl/>
        </w:rPr>
      </w:pPr>
      <w:r>
        <w:rPr>
          <w:rFonts w:hint="cs"/>
          <w:i/>
          <w:sz w:val="20"/>
          <w:rtl/>
        </w:rPr>
        <w:t>بالإضافة إلى الاختصاصات المكلف بها مشرف تحديد المصالح الفضلى، سيتحمل منسق تحديد المصالح الفضلى المسؤوليات الإضافية الآتية، بحسب السياق</w:t>
      </w:r>
      <w:r w:rsidR="00642503">
        <w:rPr>
          <w:rFonts w:cs="Arial" w:hint="cs"/>
          <w:i/>
          <w:sz w:val="20"/>
          <w:rtl/>
          <w:lang w:bidi="ar-IQ"/>
        </w:rPr>
        <w:t xml:space="preserve"> التشغيلي</w:t>
      </w:r>
      <w:r>
        <w:rPr>
          <w:rFonts w:hint="cs"/>
          <w:i/>
          <w:sz w:val="20"/>
          <w:rtl/>
        </w:rPr>
        <w:t>:</w:t>
      </w:r>
    </w:p>
    <w:p w14:paraId="7AFF37AE" w14:textId="77777777" w:rsidR="00E322E6" w:rsidRPr="000C1665" w:rsidRDefault="00E322E6" w:rsidP="0099454D">
      <w:pPr>
        <w:rPr>
          <w:sz w:val="20"/>
          <w:szCs w:val="20"/>
          <w:lang w:val="en-US"/>
        </w:rPr>
      </w:pPr>
    </w:p>
    <w:p w14:paraId="2C080BCB" w14:textId="77777777" w:rsidR="00390569" w:rsidRPr="000C1665" w:rsidRDefault="00E94A38" w:rsidP="00390569">
      <w:pPr>
        <w:numPr>
          <w:ilvl w:val="0"/>
          <w:numId w:val="1"/>
        </w:numPr>
        <w:bidi/>
        <w:rPr>
          <w:sz w:val="20"/>
          <w:szCs w:val="20"/>
          <w:rtl/>
        </w:rPr>
      </w:pPr>
      <w:r>
        <w:rPr>
          <w:rFonts w:hint="cs"/>
          <w:sz w:val="20"/>
          <w:rtl/>
        </w:rPr>
        <w:t>تقييم وضع حماية الطفل في المنطقة الواقعة ضمن نطاق المسؤولية وإسداء المشورة لكبار المديرين بشأن الحاجة إلى إنشاء عملية تحديد المصالح الفضلى ومعالجتها.</w:t>
      </w:r>
    </w:p>
    <w:p w14:paraId="4BB92EB5" w14:textId="77777777" w:rsidR="00390569" w:rsidRPr="000C1665" w:rsidRDefault="00390569" w:rsidP="00390569">
      <w:pPr>
        <w:ind w:left="360"/>
        <w:rPr>
          <w:sz w:val="20"/>
          <w:szCs w:val="20"/>
          <w:lang w:val="en-US"/>
        </w:rPr>
      </w:pPr>
    </w:p>
    <w:p w14:paraId="1A41A5EE" w14:textId="77777777" w:rsidR="00E94A38" w:rsidRPr="000C1665" w:rsidRDefault="00E94A38" w:rsidP="00390569">
      <w:pPr>
        <w:numPr>
          <w:ilvl w:val="0"/>
          <w:numId w:val="1"/>
        </w:numPr>
        <w:bidi/>
        <w:rPr>
          <w:sz w:val="20"/>
          <w:szCs w:val="20"/>
          <w:rtl/>
        </w:rPr>
      </w:pPr>
      <w:r>
        <w:rPr>
          <w:rFonts w:hint="cs"/>
          <w:sz w:val="20"/>
          <w:rtl/>
        </w:rPr>
        <w:t>قيادة إجراءات بدء تنفيذ المصالح الفضلى وتوجيهها عبر العديد من المكاتب أو عبر منطقة ما. يتضمن ذلك، إسداء المشورة لمشرف تحديد المصالح الفضلى بشأن تحديد موظفي استعراض تحديد المصالح الفضلى، وناظر القضية، والمرشدين الاجتماعيين، بما يشمل تكييف الاختصاصات لهذه الوظائف وتقديمها،</w:t>
      </w:r>
    </w:p>
    <w:p w14:paraId="63875C92" w14:textId="77777777" w:rsidR="00E94A38" w:rsidRPr="000C1665" w:rsidRDefault="00E94A38" w:rsidP="00E94A38">
      <w:pPr>
        <w:pStyle w:val="ListParagraph"/>
        <w:ind w:left="360"/>
        <w:jc w:val="both"/>
        <w:rPr>
          <w:sz w:val="20"/>
          <w:szCs w:val="20"/>
          <w:lang w:val="en-US"/>
        </w:rPr>
      </w:pPr>
    </w:p>
    <w:p w14:paraId="5AF74752" w14:textId="77777777" w:rsidR="00E94A38" w:rsidRPr="000C1665" w:rsidRDefault="00E94A38" w:rsidP="00E94A38">
      <w:pPr>
        <w:pStyle w:val="ListParagraph"/>
        <w:numPr>
          <w:ilvl w:val="0"/>
          <w:numId w:val="1"/>
        </w:numPr>
        <w:bidi/>
        <w:jc w:val="both"/>
        <w:rPr>
          <w:sz w:val="20"/>
          <w:szCs w:val="20"/>
          <w:rtl/>
        </w:rPr>
      </w:pPr>
      <w:r>
        <w:rPr>
          <w:rFonts w:hint="cs"/>
          <w:sz w:val="20"/>
          <w:rtl/>
        </w:rPr>
        <w:t>تقديم المشورة إلى مشرفي تحديد المصالح الفضلى على المستوى التشغيلي (مكتب الفرع، أو المكتب الفرعي، أو المكتب الميداني) بشأن الحالات المعقدة؛</w:t>
      </w:r>
    </w:p>
    <w:p w14:paraId="5B77FF69" w14:textId="77777777" w:rsidR="00E94A38" w:rsidRPr="000C1665" w:rsidRDefault="00E94A38" w:rsidP="00E94A38">
      <w:pPr>
        <w:jc w:val="both"/>
        <w:rPr>
          <w:sz w:val="20"/>
          <w:szCs w:val="20"/>
          <w:lang w:val="en-US"/>
        </w:rPr>
      </w:pPr>
    </w:p>
    <w:p w14:paraId="258E4B31" w14:textId="77777777" w:rsidR="00E94A38" w:rsidRPr="000C1665" w:rsidRDefault="00E94A38" w:rsidP="00E94A38">
      <w:pPr>
        <w:pStyle w:val="ListParagraph"/>
        <w:numPr>
          <w:ilvl w:val="0"/>
          <w:numId w:val="1"/>
        </w:numPr>
        <w:bidi/>
        <w:jc w:val="both"/>
        <w:rPr>
          <w:sz w:val="20"/>
          <w:szCs w:val="20"/>
          <w:rtl/>
        </w:rPr>
      </w:pPr>
      <w:r>
        <w:rPr>
          <w:rFonts w:hint="cs"/>
          <w:sz w:val="20"/>
          <w:rtl/>
        </w:rPr>
        <w:t xml:space="preserve"> العمل بوصفه حلقة وصل بين المكاتب بشأن تبادل المعلومات، ومتابعة الحالات، وتنفيذ قرارات تحديد المصالح الفضلى. قد يشمل ذلك الروابط عبر الحدود بين المكاتب؛</w:t>
      </w:r>
    </w:p>
    <w:p w14:paraId="5EE76DCA" w14:textId="77777777" w:rsidR="00E94A38" w:rsidRPr="000C1665" w:rsidRDefault="00E94A38" w:rsidP="00E94A38">
      <w:pPr>
        <w:pStyle w:val="ListParagraph"/>
        <w:ind w:left="360"/>
        <w:jc w:val="both"/>
        <w:rPr>
          <w:sz w:val="20"/>
          <w:szCs w:val="20"/>
          <w:lang w:val="en-US"/>
        </w:rPr>
      </w:pPr>
    </w:p>
    <w:p w14:paraId="6F6BDA29" w14:textId="77777777" w:rsidR="00E94A38" w:rsidRPr="000C1665" w:rsidRDefault="00E94A38" w:rsidP="00E94A38">
      <w:pPr>
        <w:pStyle w:val="ListParagraph"/>
        <w:numPr>
          <w:ilvl w:val="0"/>
          <w:numId w:val="1"/>
        </w:numPr>
        <w:bidi/>
        <w:jc w:val="both"/>
        <w:rPr>
          <w:sz w:val="20"/>
          <w:szCs w:val="20"/>
          <w:rtl/>
        </w:rPr>
      </w:pPr>
      <w:r>
        <w:rPr>
          <w:rFonts w:hint="cs"/>
          <w:sz w:val="20"/>
          <w:rtl/>
        </w:rPr>
        <w:t>تقديم الدعم إلى مشرفي تحديد المصالح الفضلى في تنظيم دورات التدريب/التدريب لتجديد المعلومات وإجرائها للجهات الفاعلة المشتركة في عملية تحديد المصالح الفضلى؛</w:t>
      </w:r>
    </w:p>
    <w:p w14:paraId="179D59CC" w14:textId="77777777" w:rsidR="00656601" w:rsidRPr="000C1665" w:rsidRDefault="00656601" w:rsidP="00656601">
      <w:pPr>
        <w:rPr>
          <w:sz w:val="20"/>
          <w:szCs w:val="20"/>
          <w:lang w:val="en-US"/>
        </w:rPr>
      </w:pPr>
    </w:p>
    <w:p w14:paraId="0A8AA72D" w14:textId="77777777" w:rsidR="00710787" w:rsidRPr="000C1665" w:rsidRDefault="00710787" w:rsidP="00710787">
      <w:pPr>
        <w:pStyle w:val="ListParagraph"/>
        <w:numPr>
          <w:ilvl w:val="0"/>
          <w:numId w:val="1"/>
        </w:numPr>
        <w:bidi/>
        <w:rPr>
          <w:sz w:val="20"/>
          <w:szCs w:val="20"/>
          <w:rtl/>
        </w:rPr>
      </w:pPr>
      <w:r>
        <w:rPr>
          <w:rFonts w:hint="cs"/>
          <w:sz w:val="20"/>
          <w:rtl/>
        </w:rPr>
        <w:t xml:space="preserve"> تعزيز تنفيذ </w:t>
      </w:r>
      <w:r w:rsidRPr="000C1665">
        <w:rPr>
          <w:rStyle w:val="FootnoteReference"/>
          <w:sz w:val="20"/>
          <w:szCs w:val="20"/>
          <w:lang w:val="en-US"/>
        </w:rPr>
        <w:footnoteReference w:id="1"/>
      </w:r>
      <w:r>
        <w:rPr>
          <w:rFonts w:hint="cs"/>
          <w:sz w:val="20"/>
          <w:rtl/>
        </w:rPr>
        <w:t>إجراءات المصالح الفضلى والإشراف عليها بعدّ تلك الإجراءات أداةً لحماية الطفل ومن ثمَّ جميع الأطفال المعرضين للخطر، والعمل على دمج إجراء المصالح الفضلى وعملية تحديد المصالح الفضلى في استراتيجية حماية الطفل بأكملها؛</w:t>
      </w:r>
    </w:p>
    <w:p w14:paraId="043C2871" w14:textId="77777777" w:rsidR="00710787" w:rsidRPr="000C1665" w:rsidRDefault="00710787" w:rsidP="00656601">
      <w:pPr>
        <w:rPr>
          <w:sz w:val="20"/>
          <w:szCs w:val="20"/>
          <w:lang w:val="en-US"/>
        </w:rPr>
      </w:pPr>
    </w:p>
    <w:p w14:paraId="12E82848" w14:textId="77777777" w:rsidR="00656601" w:rsidRPr="000C1665" w:rsidRDefault="00656601" w:rsidP="00656601">
      <w:pPr>
        <w:numPr>
          <w:ilvl w:val="0"/>
          <w:numId w:val="1"/>
        </w:numPr>
        <w:bidi/>
        <w:rPr>
          <w:sz w:val="20"/>
          <w:szCs w:val="20"/>
          <w:rtl/>
        </w:rPr>
      </w:pPr>
      <w:r>
        <w:rPr>
          <w:rFonts w:hint="cs"/>
          <w:sz w:val="20"/>
          <w:rtl/>
        </w:rPr>
        <w:t>في السياقات حيث يُجرى إنشاء لجنة وطنية معنية بتحديد المصالح الفضلى، سيقوم منسق تحديد المصالح الفضلى بالآتي:</w:t>
      </w:r>
    </w:p>
    <w:p w14:paraId="6F5E1298" w14:textId="77777777" w:rsidR="00390569" w:rsidRPr="000C1665" w:rsidRDefault="00390569" w:rsidP="00656601">
      <w:pPr>
        <w:numPr>
          <w:ilvl w:val="1"/>
          <w:numId w:val="1"/>
        </w:numPr>
        <w:bidi/>
        <w:rPr>
          <w:sz w:val="20"/>
          <w:szCs w:val="20"/>
          <w:rtl/>
        </w:rPr>
      </w:pPr>
      <w:r>
        <w:rPr>
          <w:rFonts w:hint="cs"/>
          <w:sz w:val="20"/>
          <w:rtl/>
        </w:rPr>
        <w:t>إجراء الاتصالات مع مشرفي تحديد المصالح الفضلى بشأن تقارير تحديد المصالح الفضلى التي يتعين تقديمها إلى اللجنة، وتجميع التقارير، وتقديمها إلى اللجنة،</w:t>
      </w:r>
    </w:p>
    <w:p w14:paraId="06FC3327" w14:textId="77777777" w:rsidR="00656601" w:rsidRPr="000C1665" w:rsidRDefault="00656601" w:rsidP="00656601">
      <w:pPr>
        <w:numPr>
          <w:ilvl w:val="1"/>
          <w:numId w:val="1"/>
        </w:numPr>
        <w:bidi/>
        <w:rPr>
          <w:sz w:val="20"/>
          <w:szCs w:val="20"/>
          <w:rtl/>
        </w:rPr>
      </w:pPr>
      <w:r>
        <w:rPr>
          <w:rFonts w:hint="cs"/>
          <w:sz w:val="20"/>
          <w:rtl/>
        </w:rPr>
        <w:t>عقد اجتماعات لجنة تحديد المصالح الفضلى، ورئاسة الاجتماعات أو دعم رئاستها؛</w:t>
      </w:r>
    </w:p>
    <w:p w14:paraId="1443223B" w14:textId="77777777" w:rsidR="00656601" w:rsidRPr="000C1665" w:rsidRDefault="00656601" w:rsidP="00656601">
      <w:pPr>
        <w:numPr>
          <w:ilvl w:val="1"/>
          <w:numId w:val="1"/>
        </w:numPr>
        <w:bidi/>
        <w:rPr>
          <w:sz w:val="20"/>
          <w:szCs w:val="20"/>
          <w:rtl/>
        </w:rPr>
      </w:pPr>
      <w:r>
        <w:rPr>
          <w:rFonts w:hint="cs"/>
          <w:sz w:val="20"/>
          <w:rtl/>
        </w:rPr>
        <w:lastRenderedPageBreak/>
        <w:t>التأكد من توثيق عملية تحديد المصالح الفضلى بشكل صحيح، وتعميم تنفيذ القرارت على نحو مناسب، ورصد متابعة قرار تحديد المصالح الفضلى؛</w:t>
      </w:r>
    </w:p>
    <w:p w14:paraId="6E84FAB6" w14:textId="77777777" w:rsidR="00656601" w:rsidRPr="000C1665" w:rsidRDefault="00656601" w:rsidP="00656601">
      <w:pPr>
        <w:numPr>
          <w:ilvl w:val="1"/>
          <w:numId w:val="1"/>
        </w:numPr>
        <w:bidi/>
        <w:rPr>
          <w:sz w:val="20"/>
          <w:szCs w:val="20"/>
          <w:rtl/>
        </w:rPr>
      </w:pPr>
      <w:r>
        <w:rPr>
          <w:rFonts w:hint="cs"/>
          <w:sz w:val="20"/>
          <w:rtl/>
        </w:rPr>
        <w:t xml:space="preserve">مراجعة قرارات تحديد المصالح الفضلى وإعادة فتحها على النحو اللازم </w:t>
      </w:r>
      <w:r>
        <w:rPr>
          <w:rFonts w:hint="cs"/>
          <w:i/>
          <w:sz w:val="20"/>
          <w:rtl/>
        </w:rPr>
        <w:t>(ارجع إلى الظروف الواردة في المبادئ التوجيهية المتعلقة بتحديد المصالح الفضلى، الفصل 5.7)</w:t>
      </w:r>
      <w:r>
        <w:rPr>
          <w:rFonts w:hint="cs"/>
          <w:sz w:val="20"/>
          <w:rtl/>
        </w:rPr>
        <w:t>؛</w:t>
      </w:r>
    </w:p>
    <w:p w14:paraId="7E930AAE" w14:textId="778AB12F" w:rsidR="00656601" w:rsidRPr="000C1665" w:rsidRDefault="00656601" w:rsidP="00656601">
      <w:pPr>
        <w:numPr>
          <w:ilvl w:val="1"/>
          <w:numId w:val="1"/>
        </w:numPr>
        <w:bidi/>
        <w:rPr>
          <w:sz w:val="20"/>
          <w:szCs w:val="20"/>
          <w:rtl/>
        </w:rPr>
      </w:pPr>
      <w:r>
        <w:rPr>
          <w:rFonts w:hint="cs"/>
          <w:sz w:val="20"/>
          <w:rtl/>
        </w:rPr>
        <w:t xml:space="preserve">إسداء المشورة للإدارة العليا بشأن الحاجة إلى تبسيط إجراءات اتخاذ القرارات على النحو الملائم، وقيادة تنفيذها </w:t>
      </w:r>
      <w:r>
        <w:rPr>
          <w:rFonts w:hint="cs"/>
          <w:i/>
          <w:sz w:val="20"/>
          <w:rtl/>
        </w:rPr>
        <w:t>(ارجع إلى الفصل 5.6 من المبادئ التوجيهية المتعلقة بتحديد المصالح الفضلى)؛</w:t>
      </w:r>
    </w:p>
    <w:p w14:paraId="6A0DAB12" w14:textId="77777777" w:rsidR="00656601" w:rsidRPr="000C1665" w:rsidRDefault="00656601" w:rsidP="00656601">
      <w:pPr>
        <w:rPr>
          <w:sz w:val="20"/>
          <w:szCs w:val="20"/>
          <w:lang w:val="en-US"/>
        </w:rPr>
      </w:pPr>
    </w:p>
    <w:p w14:paraId="2968C71A" w14:textId="77777777" w:rsidR="00763549" w:rsidRPr="000C1665" w:rsidRDefault="00763549" w:rsidP="00763549">
      <w:pPr>
        <w:numPr>
          <w:ilvl w:val="0"/>
          <w:numId w:val="1"/>
        </w:numPr>
        <w:bidi/>
        <w:rPr>
          <w:sz w:val="20"/>
          <w:szCs w:val="20"/>
          <w:rtl/>
        </w:rPr>
      </w:pPr>
      <w:r>
        <w:rPr>
          <w:rFonts w:hint="cs"/>
          <w:sz w:val="20"/>
          <w:rtl/>
        </w:rPr>
        <w:t>التفاعل مع النظام الوطني لحماية الطفل على المستوى الوطني. وذلك يشمل:</w:t>
      </w:r>
    </w:p>
    <w:p w14:paraId="33AB0A10" w14:textId="77777777" w:rsidR="00763549" w:rsidRPr="000C1665" w:rsidRDefault="00763549" w:rsidP="00763549">
      <w:pPr>
        <w:pStyle w:val="ListParagraph"/>
        <w:numPr>
          <w:ilvl w:val="1"/>
          <w:numId w:val="1"/>
        </w:numPr>
        <w:bidi/>
        <w:rPr>
          <w:sz w:val="20"/>
          <w:szCs w:val="20"/>
          <w:rtl/>
        </w:rPr>
      </w:pPr>
      <w:r>
        <w:rPr>
          <w:rFonts w:hint="cs"/>
          <w:sz w:val="20"/>
          <w:rtl/>
        </w:rPr>
        <w:t xml:space="preserve"> الدعوة إلى إشراك السلطات المحلية والوطنية المختصة ودعمها،</w:t>
      </w:r>
    </w:p>
    <w:p w14:paraId="43ADC494" w14:textId="77777777" w:rsidR="00763549" w:rsidRPr="000C1665" w:rsidRDefault="00763549" w:rsidP="00763549">
      <w:pPr>
        <w:pStyle w:val="ListParagraph"/>
        <w:numPr>
          <w:ilvl w:val="1"/>
          <w:numId w:val="1"/>
        </w:numPr>
        <w:bidi/>
        <w:rPr>
          <w:sz w:val="20"/>
          <w:szCs w:val="20"/>
          <w:rtl/>
        </w:rPr>
      </w:pPr>
      <w:r>
        <w:rPr>
          <w:rFonts w:hint="cs"/>
          <w:sz w:val="20"/>
          <w:rtl/>
        </w:rPr>
        <w:t xml:space="preserve">بالتعاون مع مشرفي تحديد المصالح الفضلى، ووضع خطة لتعزيز تكامل عملية تحديد المصالح الفضلى مع الإجراءات الوطنية؛ </w:t>
      </w:r>
    </w:p>
    <w:p w14:paraId="7C5B4784" w14:textId="77777777" w:rsidR="00763549" w:rsidRPr="000C1665" w:rsidRDefault="00763549" w:rsidP="00763549">
      <w:pPr>
        <w:pStyle w:val="ListParagraph"/>
        <w:ind w:left="360"/>
        <w:jc w:val="both"/>
        <w:rPr>
          <w:sz w:val="20"/>
          <w:szCs w:val="20"/>
          <w:lang w:val="en-US"/>
        </w:rPr>
      </w:pPr>
    </w:p>
    <w:p w14:paraId="54D3866B" w14:textId="77777777" w:rsidR="00E94A38" w:rsidRPr="000C1665" w:rsidRDefault="00E94A38" w:rsidP="00E94A38">
      <w:pPr>
        <w:pStyle w:val="ListParagraph"/>
        <w:numPr>
          <w:ilvl w:val="0"/>
          <w:numId w:val="1"/>
        </w:numPr>
        <w:bidi/>
        <w:jc w:val="both"/>
        <w:rPr>
          <w:sz w:val="20"/>
          <w:szCs w:val="20"/>
          <w:rtl/>
        </w:rPr>
      </w:pPr>
      <w:r>
        <w:rPr>
          <w:rFonts w:hint="cs"/>
          <w:sz w:val="20"/>
          <w:rtl/>
        </w:rPr>
        <w:t>والمراجعة الدورية لتنفيذ إجراء تحديد المصالح الفضلى لضمان الاتساق والجودة.</w:t>
      </w:r>
    </w:p>
    <w:p w14:paraId="51D88D43" w14:textId="77777777" w:rsidR="00FC5670" w:rsidRPr="000C1665" w:rsidRDefault="00FC5670" w:rsidP="00FC5670">
      <w:pPr>
        <w:rPr>
          <w:sz w:val="20"/>
          <w:szCs w:val="20"/>
          <w:lang w:val="en-US"/>
        </w:rPr>
      </w:pPr>
    </w:p>
    <w:p w14:paraId="7BB02DBC" w14:textId="77777777" w:rsidR="0099454D" w:rsidRPr="000C1665" w:rsidRDefault="0099454D">
      <w:pPr>
        <w:rPr>
          <w:sz w:val="20"/>
          <w:szCs w:val="20"/>
        </w:rPr>
      </w:pPr>
    </w:p>
    <w:p w14:paraId="30D782CE" w14:textId="77777777" w:rsidR="0099454D" w:rsidRPr="000C1665" w:rsidRDefault="0099454D">
      <w:pPr>
        <w:rPr>
          <w:sz w:val="20"/>
          <w:szCs w:val="20"/>
        </w:rPr>
      </w:pPr>
    </w:p>
    <w:p w14:paraId="56C1D5E7" w14:textId="77777777" w:rsidR="0099454D" w:rsidRPr="000C1665" w:rsidRDefault="0099454D">
      <w:pPr>
        <w:bidi/>
        <w:rPr>
          <w:i/>
          <w:iCs/>
          <w:sz w:val="20"/>
          <w:szCs w:val="20"/>
          <w:rtl/>
        </w:rPr>
      </w:pPr>
      <w:r>
        <w:rPr>
          <w:rFonts w:hint="cs"/>
          <w:i/>
          <w:sz w:val="20"/>
          <w:rtl/>
        </w:rPr>
        <w:t>المتطلب:</w:t>
      </w:r>
    </w:p>
    <w:p w14:paraId="6537DA2E" w14:textId="77777777" w:rsidR="0099454D" w:rsidRPr="000C1665" w:rsidRDefault="0099454D">
      <w:pPr>
        <w:rPr>
          <w:sz w:val="20"/>
          <w:szCs w:val="20"/>
        </w:rPr>
      </w:pPr>
    </w:p>
    <w:p w14:paraId="2AB9F9B1" w14:textId="77777777" w:rsidR="00074582" w:rsidRPr="000C1665" w:rsidRDefault="00763549" w:rsidP="00074582">
      <w:pPr>
        <w:pStyle w:val="ListParagraph"/>
        <w:numPr>
          <w:ilvl w:val="0"/>
          <w:numId w:val="1"/>
        </w:numPr>
        <w:bidi/>
        <w:rPr>
          <w:sz w:val="20"/>
          <w:szCs w:val="20"/>
          <w:rtl/>
        </w:rPr>
      </w:pPr>
      <w:r>
        <w:rPr>
          <w:rFonts w:hint="cs"/>
          <w:sz w:val="20"/>
          <w:rtl/>
        </w:rPr>
        <w:t>بناءً على السياق، سيكون منسق تحديد المصالح الفضلى أحد موظفي مفوضية الأمم المتحدة السامية لشؤون اللاجئين (</w:t>
      </w:r>
      <w:r>
        <w:rPr>
          <w:sz w:val="20"/>
        </w:rPr>
        <w:t>UNHCR</w:t>
      </w:r>
      <w:r>
        <w:rPr>
          <w:rFonts w:hint="cs"/>
          <w:sz w:val="20"/>
          <w:rtl/>
        </w:rPr>
        <w:t>) في المكتب الفرعي، أو مكتب الفرع، أو المكتب الإقليمي على مستويات المكاتب الفرعية أو الميدانية، كما يمكن أن يكون منسق تحديد المصالح الفضلى أيضًا موظفًا في منظمة شريكة؛</w:t>
      </w:r>
    </w:p>
    <w:p w14:paraId="3BACD31E" w14:textId="77777777" w:rsidR="00074582" w:rsidRPr="000C1665" w:rsidRDefault="00074582" w:rsidP="00074582">
      <w:pPr>
        <w:pStyle w:val="ListParagraph"/>
        <w:ind w:left="360"/>
        <w:rPr>
          <w:sz w:val="20"/>
          <w:szCs w:val="20"/>
        </w:rPr>
      </w:pPr>
    </w:p>
    <w:p w14:paraId="702BFB3D" w14:textId="77777777" w:rsidR="00B40AAD" w:rsidRPr="000C1665" w:rsidRDefault="00A05855" w:rsidP="00074582">
      <w:pPr>
        <w:pStyle w:val="ListParagraph"/>
        <w:numPr>
          <w:ilvl w:val="0"/>
          <w:numId w:val="1"/>
        </w:numPr>
        <w:bidi/>
        <w:rPr>
          <w:sz w:val="20"/>
          <w:szCs w:val="20"/>
          <w:rtl/>
        </w:rPr>
      </w:pPr>
      <w:r>
        <w:rPr>
          <w:rFonts w:hint="cs"/>
          <w:sz w:val="20"/>
          <w:rtl/>
        </w:rPr>
        <w:t xml:space="preserve"> يتمتع الموظف المختار بخلفية قوية في مجال الحماية، بما في ذلك الخبرة في حماية الطفل أو رفاهية الطفل/العمل الاجتماعي؛</w:t>
      </w:r>
    </w:p>
    <w:p w14:paraId="62524F17" w14:textId="77777777" w:rsidR="00074582" w:rsidRPr="000C1665" w:rsidRDefault="00074582" w:rsidP="00074582">
      <w:pPr>
        <w:pStyle w:val="ListParagraph"/>
        <w:rPr>
          <w:sz w:val="20"/>
          <w:szCs w:val="20"/>
        </w:rPr>
      </w:pPr>
    </w:p>
    <w:p w14:paraId="0AB10FFB" w14:textId="77777777" w:rsidR="00074582" w:rsidRPr="000C1665" w:rsidRDefault="00074582" w:rsidP="00074582">
      <w:pPr>
        <w:pStyle w:val="ListParagraph"/>
        <w:numPr>
          <w:ilvl w:val="0"/>
          <w:numId w:val="1"/>
        </w:numPr>
        <w:bidi/>
        <w:rPr>
          <w:sz w:val="20"/>
          <w:szCs w:val="20"/>
          <w:rtl/>
        </w:rPr>
      </w:pPr>
      <w:r>
        <w:rPr>
          <w:rFonts w:hint="cs"/>
          <w:sz w:val="20"/>
          <w:rtl/>
        </w:rPr>
        <w:t>معرفة جيدة بإجراء المصالح الفضلى (إدارة القضايا)؛</w:t>
      </w:r>
    </w:p>
    <w:p w14:paraId="45BED5DE" w14:textId="77777777" w:rsidR="00074582" w:rsidRPr="000C1665" w:rsidRDefault="00074582" w:rsidP="00074582">
      <w:pPr>
        <w:pStyle w:val="ListParagraph"/>
        <w:rPr>
          <w:sz w:val="20"/>
          <w:szCs w:val="20"/>
        </w:rPr>
      </w:pPr>
    </w:p>
    <w:p w14:paraId="451F7CA4" w14:textId="77777777" w:rsidR="00390569" w:rsidRPr="000C1665" w:rsidRDefault="00390569" w:rsidP="00390569">
      <w:pPr>
        <w:pStyle w:val="ListParagraph"/>
        <w:numPr>
          <w:ilvl w:val="0"/>
          <w:numId w:val="1"/>
        </w:numPr>
        <w:bidi/>
        <w:rPr>
          <w:sz w:val="20"/>
          <w:szCs w:val="20"/>
          <w:rtl/>
        </w:rPr>
      </w:pPr>
      <w:r>
        <w:rPr>
          <w:rFonts w:hint="cs"/>
          <w:sz w:val="20"/>
          <w:rtl/>
        </w:rPr>
        <w:t>مهارات مثبتة في تنسيق البرامج، وقيادة الاجتماعات ورئاستها، والاتصال بين المكاتب/العمليات؛</w:t>
      </w:r>
    </w:p>
    <w:p w14:paraId="63FD74FF" w14:textId="77777777" w:rsidR="00F15D82" w:rsidRPr="000C1665" w:rsidRDefault="00F15D82" w:rsidP="00763549">
      <w:pPr>
        <w:rPr>
          <w:sz w:val="20"/>
          <w:szCs w:val="20"/>
        </w:rPr>
      </w:pPr>
    </w:p>
    <w:p w14:paraId="0D7E372D" w14:textId="77777777" w:rsidR="00F15D82" w:rsidRPr="000C1665" w:rsidRDefault="00F15D82" w:rsidP="00074582">
      <w:pPr>
        <w:pStyle w:val="ListParagraph"/>
        <w:numPr>
          <w:ilvl w:val="0"/>
          <w:numId w:val="1"/>
        </w:numPr>
        <w:bidi/>
        <w:rPr>
          <w:sz w:val="20"/>
          <w:szCs w:val="20"/>
          <w:rtl/>
        </w:rPr>
      </w:pPr>
      <w:r>
        <w:rPr>
          <w:rFonts w:hint="cs"/>
          <w:sz w:val="20"/>
          <w:rtl/>
        </w:rPr>
        <w:t>خلفية في تنظيم التدريب وتسهيله</w:t>
      </w:r>
    </w:p>
    <w:p w14:paraId="3E177956" w14:textId="77777777" w:rsidR="0099454D" w:rsidRDefault="0099454D"/>
    <w:p w14:paraId="2596B6BB" w14:textId="77777777" w:rsidR="00074582" w:rsidRDefault="00074582"/>
    <w:p w14:paraId="21ECD949" w14:textId="77777777" w:rsidR="00800702" w:rsidRDefault="00800702"/>
    <w:p w14:paraId="16588596" w14:textId="77777777" w:rsidR="00800702" w:rsidRPr="00800702" w:rsidRDefault="00800702">
      <w:pPr>
        <w:rPr>
          <w:lang w:val="en-US"/>
        </w:rPr>
      </w:pPr>
    </w:p>
    <w:sectPr w:rsidR="00800702" w:rsidRPr="00800702" w:rsidSect="000C1665">
      <w:headerReference w:type="default" r:id="rId11"/>
      <w:footerReference w:type="default" r:id="rId12"/>
      <w:pgSz w:w="11900" w:h="16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7B37" w14:textId="77777777" w:rsidR="00451F9D" w:rsidRDefault="00451F9D" w:rsidP="0099454D">
      <w:r>
        <w:separator/>
      </w:r>
    </w:p>
  </w:endnote>
  <w:endnote w:type="continuationSeparator" w:id="0">
    <w:p w14:paraId="19516491" w14:textId="77777777" w:rsidR="00451F9D" w:rsidRDefault="00451F9D" w:rsidP="0099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D8BD" w14:textId="5A000E82" w:rsidR="00C26B7E" w:rsidRPr="00C26B7E" w:rsidRDefault="00C26B7E" w:rsidP="00C26B7E">
    <w:pPr>
      <w:pStyle w:val="Footer"/>
      <w:jc w:val="right"/>
      <w:rPr>
        <w:i/>
        <w:iCs/>
        <w:color w:val="FF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3D9F8" w14:textId="77777777" w:rsidR="00451F9D" w:rsidRDefault="00451F9D" w:rsidP="0099454D">
      <w:r>
        <w:separator/>
      </w:r>
    </w:p>
  </w:footnote>
  <w:footnote w:type="continuationSeparator" w:id="0">
    <w:p w14:paraId="23B064FD" w14:textId="77777777" w:rsidR="00451F9D" w:rsidRDefault="00451F9D" w:rsidP="0099454D">
      <w:r>
        <w:continuationSeparator/>
      </w:r>
    </w:p>
  </w:footnote>
  <w:footnote w:id="1">
    <w:p w14:paraId="281D42C1" w14:textId="77777777" w:rsidR="00710787" w:rsidRPr="0058372E" w:rsidRDefault="00710787" w:rsidP="00710787">
      <w:pPr>
        <w:pStyle w:val="FootnoteText"/>
        <w:bidi/>
        <w:rPr>
          <w:sz w:val="16"/>
          <w:szCs w:val="16"/>
          <w:rtl/>
        </w:rPr>
      </w:pPr>
      <w:r>
        <w:rPr>
          <w:rStyle w:val="FootnoteReference"/>
          <w:sz w:val="16"/>
          <w:szCs w:val="16"/>
        </w:rPr>
        <w:footnoteRef/>
      </w:r>
      <w:r>
        <w:rPr>
          <w:rFonts w:hint="cs"/>
          <w:sz w:val="16"/>
          <w:rtl/>
        </w:rPr>
        <w:t xml:space="preserve"> اعتمادًا على السياق التشغيلي، قد يتم الإشراف على تنفيذ إجراءات المصالح الفضلى من جانب مشرف تحديد المصالح الفضلى أو موظف استعراض تحديد المصالح الفضلى.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16175" w14:textId="12C34672" w:rsidR="0099454D" w:rsidRPr="000C1665" w:rsidRDefault="00462BF8" w:rsidP="000C1665">
    <w:pPr>
      <w:pStyle w:val="Header"/>
      <w:bidi/>
      <w:jc w:val="right"/>
      <w:rPr>
        <w:rtl/>
      </w:rPr>
    </w:pPr>
    <w:r>
      <w:rPr>
        <w:noProof/>
        <w:rtl/>
        <w:lang w:val="ar-EG"/>
      </w:rPr>
      <w:drawing>
        <wp:inline distT="0" distB="0" distL="0" distR="0" wp14:anchorId="68724965" wp14:editId="03769A8F">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52AEA"/>
    <w:multiLevelType w:val="hybridMultilevel"/>
    <w:tmpl w:val="FF006546"/>
    <w:lvl w:ilvl="0" w:tplc="04090001">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62E3B33"/>
    <w:multiLevelType w:val="hybridMultilevel"/>
    <w:tmpl w:val="1D629CBE"/>
    <w:lvl w:ilvl="0" w:tplc="DA686CC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4D"/>
    <w:rsid w:val="00074582"/>
    <w:rsid w:val="00084166"/>
    <w:rsid w:val="000C1665"/>
    <w:rsid w:val="001217D9"/>
    <w:rsid w:val="00176C44"/>
    <w:rsid w:val="00184809"/>
    <w:rsid w:val="002637FC"/>
    <w:rsid w:val="00302D8E"/>
    <w:rsid w:val="00314820"/>
    <w:rsid w:val="00322666"/>
    <w:rsid w:val="00390569"/>
    <w:rsid w:val="003E48F7"/>
    <w:rsid w:val="00437BA4"/>
    <w:rsid w:val="00450156"/>
    <w:rsid w:val="00451F9D"/>
    <w:rsid w:val="00462BF8"/>
    <w:rsid w:val="004C3C62"/>
    <w:rsid w:val="0058372E"/>
    <w:rsid w:val="00642503"/>
    <w:rsid w:val="00656601"/>
    <w:rsid w:val="00660D6B"/>
    <w:rsid w:val="00666F1D"/>
    <w:rsid w:val="006755AE"/>
    <w:rsid w:val="00681A55"/>
    <w:rsid w:val="00710787"/>
    <w:rsid w:val="00725FA4"/>
    <w:rsid w:val="00762CB0"/>
    <w:rsid w:val="00763549"/>
    <w:rsid w:val="007F03A3"/>
    <w:rsid w:val="00800702"/>
    <w:rsid w:val="008236A4"/>
    <w:rsid w:val="0099454D"/>
    <w:rsid w:val="009C1659"/>
    <w:rsid w:val="00A05855"/>
    <w:rsid w:val="00A24326"/>
    <w:rsid w:val="00A9722A"/>
    <w:rsid w:val="00AD113C"/>
    <w:rsid w:val="00B00206"/>
    <w:rsid w:val="00B1327E"/>
    <w:rsid w:val="00B40AAD"/>
    <w:rsid w:val="00B448E0"/>
    <w:rsid w:val="00BC3DA0"/>
    <w:rsid w:val="00BF3096"/>
    <w:rsid w:val="00C26B7E"/>
    <w:rsid w:val="00C44A7B"/>
    <w:rsid w:val="00C551E8"/>
    <w:rsid w:val="00C614CE"/>
    <w:rsid w:val="00C67E65"/>
    <w:rsid w:val="00C91D96"/>
    <w:rsid w:val="00D33D6C"/>
    <w:rsid w:val="00D51967"/>
    <w:rsid w:val="00DD3015"/>
    <w:rsid w:val="00DE05AF"/>
    <w:rsid w:val="00E256D9"/>
    <w:rsid w:val="00E322E6"/>
    <w:rsid w:val="00E94A38"/>
    <w:rsid w:val="00F15D82"/>
    <w:rsid w:val="00F21E1E"/>
    <w:rsid w:val="00FC5670"/>
    <w:rsid w:val="00FF6D5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5ABD"/>
  <w14:defaultImageDpi w14:val="32767"/>
  <w15:chartTrackingRefBased/>
  <w15:docId w15:val="{7772CA62-F00A-6044-9EC7-3138C02C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4">
    <w:name w:val="heading 4"/>
    <w:basedOn w:val="Normal"/>
    <w:next w:val="Normal"/>
    <w:link w:val="Heading4Char"/>
    <w:uiPriority w:val="9"/>
    <w:unhideWhenUsed/>
    <w:qFormat/>
    <w:rsid w:val="0080070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4D"/>
    <w:pPr>
      <w:tabs>
        <w:tab w:val="center" w:pos="4513"/>
        <w:tab w:val="right" w:pos="9026"/>
      </w:tabs>
    </w:pPr>
  </w:style>
  <w:style w:type="character" w:customStyle="1" w:styleId="HeaderChar">
    <w:name w:val="Header Char"/>
    <w:basedOn w:val="DefaultParagraphFont"/>
    <w:link w:val="Header"/>
    <w:uiPriority w:val="99"/>
    <w:rsid w:val="0099454D"/>
    <w:rPr>
      <w:lang w:val="en-GB"/>
    </w:rPr>
  </w:style>
  <w:style w:type="paragraph" w:styleId="Footer">
    <w:name w:val="footer"/>
    <w:basedOn w:val="Normal"/>
    <w:link w:val="FooterChar"/>
    <w:uiPriority w:val="99"/>
    <w:unhideWhenUsed/>
    <w:rsid w:val="0099454D"/>
    <w:pPr>
      <w:tabs>
        <w:tab w:val="center" w:pos="4513"/>
        <w:tab w:val="right" w:pos="9026"/>
      </w:tabs>
    </w:pPr>
  </w:style>
  <w:style w:type="character" w:customStyle="1" w:styleId="FooterChar">
    <w:name w:val="Footer Char"/>
    <w:basedOn w:val="DefaultParagraphFont"/>
    <w:link w:val="Footer"/>
    <w:uiPriority w:val="99"/>
    <w:rsid w:val="0099454D"/>
    <w:rPr>
      <w:lang w:val="en-GB"/>
    </w:rPr>
  </w:style>
  <w:style w:type="character" w:styleId="Hyperlink">
    <w:name w:val="Hyperlink"/>
    <w:basedOn w:val="DefaultParagraphFont"/>
    <w:uiPriority w:val="99"/>
    <w:unhideWhenUsed/>
    <w:rsid w:val="0099454D"/>
    <w:rPr>
      <w:color w:val="0563C1" w:themeColor="hyperlink"/>
      <w:u w:val="single"/>
    </w:rPr>
  </w:style>
  <w:style w:type="character" w:styleId="UnresolvedMention">
    <w:name w:val="Unresolved Mention"/>
    <w:basedOn w:val="DefaultParagraphFont"/>
    <w:uiPriority w:val="99"/>
    <w:rsid w:val="0099454D"/>
    <w:rPr>
      <w:color w:val="808080"/>
      <w:shd w:val="clear" w:color="auto" w:fill="E6E6E6"/>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List Paragraph1"/>
    <w:basedOn w:val="Normal"/>
    <w:link w:val="ListParagraphChar"/>
    <w:uiPriority w:val="34"/>
    <w:qFormat/>
    <w:rsid w:val="00C551E8"/>
    <w:pPr>
      <w:ind w:left="720"/>
      <w:contextualSpacing/>
    </w:pPr>
  </w:style>
  <w:style w:type="character" w:customStyle="1" w:styleId="Heading4Char">
    <w:name w:val="Heading 4 Char"/>
    <w:basedOn w:val="DefaultParagraphFont"/>
    <w:link w:val="Heading4"/>
    <w:uiPriority w:val="9"/>
    <w:rsid w:val="00800702"/>
    <w:rPr>
      <w:rFonts w:asciiTheme="majorHAnsi" w:eastAsiaTheme="majorEastAsia" w:hAnsiTheme="majorHAnsi" w:cstheme="majorBidi"/>
      <w:i/>
      <w:iCs/>
      <w:color w:val="2F5496" w:themeColor="accent1" w:themeShade="BF"/>
      <w:sz w:val="22"/>
      <w:szCs w:val="22"/>
      <w:lang w:val="en-GB"/>
    </w:r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basedOn w:val="DefaultParagraphFont"/>
    <w:link w:val="ListParagraph"/>
    <w:uiPriority w:val="34"/>
    <w:locked/>
    <w:rsid w:val="00800702"/>
    <w:rPr>
      <w:lang w:val="en-GB"/>
    </w:rPr>
  </w:style>
  <w:style w:type="paragraph" w:styleId="FootnoteText">
    <w:name w:val="footnote text"/>
    <w:basedOn w:val="Normal"/>
    <w:link w:val="FootnoteTextChar"/>
    <w:uiPriority w:val="99"/>
    <w:semiHidden/>
    <w:unhideWhenUsed/>
    <w:rsid w:val="00710787"/>
    <w:rPr>
      <w:sz w:val="20"/>
      <w:szCs w:val="20"/>
    </w:rPr>
  </w:style>
  <w:style w:type="character" w:customStyle="1" w:styleId="FootnoteTextChar">
    <w:name w:val="Footnote Text Char"/>
    <w:basedOn w:val="DefaultParagraphFont"/>
    <w:link w:val="FootnoteText"/>
    <w:uiPriority w:val="99"/>
    <w:semiHidden/>
    <w:rsid w:val="00710787"/>
    <w:rPr>
      <w:sz w:val="20"/>
      <w:szCs w:val="20"/>
      <w:lang w:val="en-GB"/>
    </w:rPr>
  </w:style>
  <w:style w:type="character" w:styleId="FootnoteReference">
    <w:name w:val="footnote reference"/>
    <w:basedOn w:val="DefaultParagraphFont"/>
    <w:uiPriority w:val="99"/>
    <w:semiHidden/>
    <w:unhideWhenUsed/>
    <w:rsid w:val="00710787"/>
    <w:rPr>
      <w:vertAlign w:val="superscript"/>
    </w:rPr>
  </w:style>
  <w:style w:type="character" w:styleId="CommentReference">
    <w:name w:val="annotation reference"/>
    <w:basedOn w:val="DefaultParagraphFont"/>
    <w:uiPriority w:val="99"/>
    <w:semiHidden/>
    <w:unhideWhenUsed/>
    <w:rsid w:val="00437BA4"/>
    <w:rPr>
      <w:sz w:val="16"/>
      <w:szCs w:val="16"/>
    </w:rPr>
  </w:style>
  <w:style w:type="paragraph" w:styleId="CommentText">
    <w:name w:val="annotation text"/>
    <w:basedOn w:val="Normal"/>
    <w:link w:val="CommentTextChar"/>
    <w:uiPriority w:val="99"/>
    <w:semiHidden/>
    <w:unhideWhenUsed/>
    <w:rsid w:val="00437BA4"/>
    <w:rPr>
      <w:sz w:val="20"/>
      <w:szCs w:val="20"/>
    </w:rPr>
  </w:style>
  <w:style w:type="character" w:customStyle="1" w:styleId="CommentTextChar">
    <w:name w:val="Comment Text Char"/>
    <w:basedOn w:val="DefaultParagraphFont"/>
    <w:link w:val="CommentText"/>
    <w:uiPriority w:val="99"/>
    <w:semiHidden/>
    <w:rsid w:val="00437BA4"/>
    <w:rPr>
      <w:sz w:val="20"/>
      <w:szCs w:val="20"/>
      <w:lang w:val="en-GB"/>
    </w:rPr>
  </w:style>
  <w:style w:type="paragraph" w:styleId="CommentSubject">
    <w:name w:val="annotation subject"/>
    <w:basedOn w:val="CommentText"/>
    <w:next w:val="CommentText"/>
    <w:link w:val="CommentSubjectChar"/>
    <w:uiPriority w:val="99"/>
    <w:semiHidden/>
    <w:unhideWhenUsed/>
    <w:rsid w:val="00437BA4"/>
    <w:rPr>
      <w:b/>
      <w:bCs/>
    </w:rPr>
  </w:style>
  <w:style w:type="character" w:customStyle="1" w:styleId="CommentSubjectChar">
    <w:name w:val="Comment Subject Char"/>
    <w:basedOn w:val="CommentTextChar"/>
    <w:link w:val="CommentSubject"/>
    <w:uiPriority w:val="99"/>
    <w:semiHidden/>
    <w:rsid w:val="00437BA4"/>
    <w:rPr>
      <w:b/>
      <w:bCs/>
      <w:sz w:val="20"/>
      <w:szCs w:val="20"/>
      <w:lang w:val="en-GB"/>
    </w:rPr>
  </w:style>
  <w:style w:type="paragraph" w:styleId="BalloonText">
    <w:name w:val="Balloon Text"/>
    <w:basedOn w:val="Normal"/>
    <w:link w:val="BalloonTextChar"/>
    <w:uiPriority w:val="99"/>
    <w:semiHidden/>
    <w:unhideWhenUsed/>
    <w:rsid w:val="00437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B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B622-F685-47A8-AA34-B6C9ED5A7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41767-0336-439C-A687-6E153D2B8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74EFD-1106-4134-9B05-BD108CCE2C17}">
  <ds:schemaRefs>
    <ds:schemaRef ds:uri="http://schemas.openxmlformats.org/officeDocument/2006/bibliography"/>
  </ds:schemaRefs>
</ds:datastoreItem>
</file>

<file path=customXml/itemProps4.xml><?xml version="1.0" encoding="utf-8"?>
<ds:datastoreItem xmlns:ds="http://schemas.openxmlformats.org/officeDocument/2006/customXml" ds:itemID="{013ADE83-3035-404C-A5E1-783A0EC5E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535</Words>
  <Characters>2945</Characters>
  <Application>Microsoft Office Word</Application>
  <DocSecurity>0</DocSecurity>
  <Lines>68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Speck</dc:creator>
  <cp:keywords/>
  <dc:description/>
  <cp:lastModifiedBy>Cliff Speck</cp:lastModifiedBy>
  <cp:revision>44</cp:revision>
  <dcterms:created xsi:type="dcterms:W3CDTF">2018-01-25T15:19:00Z</dcterms:created>
  <dcterms:modified xsi:type="dcterms:W3CDTF">2020-12-11T14:22:00Z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