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3ADB" w14:textId="77777777" w:rsidR="00EF7FE3" w:rsidRPr="00DC6DB3" w:rsidRDefault="00EF7FE3" w:rsidP="00EF7FE3">
      <w:pPr>
        <w:spacing w:line="118" w:lineRule="exact"/>
        <w:rPr>
          <w:rFonts w:ascii="Calibri" w:hAnsi="Calibri" w:cs="Calibri"/>
          <w:sz w:val="20"/>
          <w:szCs w:val="20"/>
        </w:rPr>
      </w:pPr>
    </w:p>
    <w:p w14:paraId="527EC736" w14:textId="4E70E6DE" w:rsidR="006172A4" w:rsidRPr="00DC6DB3" w:rsidRDefault="006172A4" w:rsidP="00DC6DB3">
      <w:pPr>
        <w:bidi/>
        <w:spacing w:before="240"/>
        <w:jc w:val="center"/>
        <w:rPr>
          <w:rFonts w:ascii="Calibri" w:hAnsi="Calibri" w:cs="Calibri"/>
          <w:color w:val="0070C0"/>
          <w:sz w:val="28"/>
          <w:szCs w:val="28"/>
          <w:rtl/>
        </w:rPr>
      </w:pPr>
      <w:r>
        <w:rPr>
          <w:rFonts w:ascii="Calibri" w:hAnsi="Calibri" w:hint="cs"/>
          <w:b/>
          <w:color w:val="0070C0"/>
          <w:sz w:val="28"/>
          <w:rtl/>
        </w:rPr>
        <w:t xml:space="preserve">قائمة </w:t>
      </w:r>
      <w:r w:rsidR="00EC425B">
        <w:rPr>
          <w:rFonts w:ascii="Calibri" w:hAnsi="Calibri" w:hint="cs"/>
          <w:b/>
          <w:color w:val="0070C0"/>
          <w:sz w:val="28"/>
          <w:rtl/>
        </w:rPr>
        <w:t xml:space="preserve"> التدقيق </w:t>
      </w:r>
      <w:r>
        <w:rPr>
          <w:rFonts w:ascii="Calibri" w:hAnsi="Calibri" w:hint="cs"/>
          <w:b/>
          <w:color w:val="0070C0"/>
          <w:sz w:val="28"/>
          <w:rtl/>
        </w:rPr>
        <w:t>المرجعية</w:t>
      </w:r>
    </w:p>
    <w:p w14:paraId="64AD52C8" w14:textId="0016BC6D" w:rsidR="00EF7FE3" w:rsidRPr="00DC6DB3" w:rsidRDefault="00EF7FE3" w:rsidP="00DC6DB3">
      <w:pPr>
        <w:bidi/>
        <w:spacing w:before="120"/>
        <w:jc w:val="center"/>
        <w:rPr>
          <w:rFonts w:ascii="Calibri" w:hAnsi="Calibri" w:cs="Calibri"/>
          <w:color w:val="0070C0"/>
          <w:sz w:val="28"/>
          <w:szCs w:val="28"/>
          <w:rtl/>
        </w:rPr>
      </w:pPr>
      <w:r>
        <w:rPr>
          <w:rFonts w:ascii="Calibri" w:hAnsi="Calibri" w:hint="cs"/>
          <w:b/>
          <w:color w:val="0070C0"/>
          <w:sz w:val="28"/>
          <w:rtl/>
        </w:rPr>
        <w:t>العوامل التي تحدد مصالح الطفل الفضلى</w:t>
      </w:r>
    </w:p>
    <w:p w14:paraId="684DBFA2" w14:textId="77777777" w:rsidR="00EF7FE3" w:rsidRPr="00DC6DB3" w:rsidRDefault="00EF7FE3" w:rsidP="00DC6DB3">
      <w:pPr>
        <w:rPr>
          <w:rFonts w:ascii="Calibri" w:hAnsi="Calibri" w:cs="Calibri"/>
          <w:color w:val="0070C0"/>
          <w:sz w:val="20"/>
          <w:szCs w:val="20"/>
        </w:rPr>
      </w:pPr>
    </w:p>
    <w:p w14:paraId="09BDA929" w14:textId="77777777" w:rsidR="00EF7FE3" w:rsidRPr="00DC6DB3" w:rsidRDefault="00EF7FE3" w:rsidP="00EF7FE3">
      <w:pPr>
        <w:spacing w:line="193" w:lineRule="exact"/>
        <w:rPr>
          <w:rFonts w:ascii="Calibri" w:hAnsi="Calibri" w:cs="Calibri"/>
          <w:sz w:val="20"/>
          <w:szCs w:val="20"/>
        </w:rPr>
      </w:pPr>
    </w:p>
    <w:p w14:paraId="4C0F2E4F" w14:textId="77777777" w:rsidR="00EF7FE3" w:rsidRPr="00DC6DB3" w:rsidRDefault="00EF7FE3" w:rsidP="00EF7FE3">
      <w:pPr>
        <w:bidi/>
        <w:spacing w:line="249" w:lineRule="auto"/>
        <w:jc w:val="both"/>
        <w:rPr>
          <w:rFonts w:ascii="Calibri" w:hAnsi="Calibri" w:cs="Calibri"/>
          <w:sz w:val="20"/>
          <w:szCs w:val="20"/>
          <w:rtl/>
        </w:rPr>
      </w:pPr>
      <w:r>
        <w:rPr>
          <w:rFonts w:ascii="Calibri" w:hAnsi="Calibri" w:hint="cs"/>
          <w:sz w:val="20"/>
          <w:rtl/>
        </w:rPr>
        <w:t>جميع العوامل الواردة أدناه ذات صلة عند تحديد الخيارات المتاحة التي تكون من مصالح الطفل الفضلى، بما في ذلك تحديد تدابير المتابعة اللازمة. ومما لا شك فيه أن أهمية كل عامل من هذه العوامل تتفاوت حسب كل طفلٍ على حدة. كما ترد نصيحة بشأن المهمة الصعبة لتحقيق التوازن بين هذه العوامل في الفصل 5 من المبادئ التوجيهية.</w:t>
      </w:r>
    </w:p>
    <w:p w14:paraId="7D70712D" w14:textId="77777777" w:rsidR="00EF7FE3" w:rsidRPr="00DC6DB3" w:rsidRDefault="00EF7FE3" w:rsidP="00EF7FE3">
      <w:pPr>
        <w:spacing w:line="186" w:lineRule="exact"/>
        <w:rPr>
          <w:rFonts w:ascii="Calibri" w:hAnsi="Calibri" w:cs="Calibri"/>
          <w:sz w:val="20"/>
          <w:szCs w:val="20"/>
        </w:rPr>
      </w:pPr>
    </w:p>
    <w:p w14:paraId="2CCDADB3" w14:textId="0B1D211E" w:rsidR="00EF7FE3" w:rsidRPr="00DC6DB3" w:rsidRDefault="00EF7FE3" w:rsidP="00DC6DB3">
      <w:pPr>
        <w:bidi/>
        <w:spacing w:before="80" w:after="80"/>
        <w:rPr>
          <w:rFonts w:ascii="Calibri" w:hAnsi="Calibri" w:cs="Calibri"/>
          <w:color w:val="0070C0"/>
          <w:sz w:val="20"/>
          <w:szCs w:val="20"/>
          <w:rtl/>
        </w:rPr>
      </w:pPr>
      <w:r>
        <w:rPr>
          <w:rFonts w:ascii="Calibri" w:hAnsi="Calibri" w:hint="cs"/>
          <w:b/>
          <w:color w:val="0070C0"/>
          <w:sz w:val="20"/>
          <w:rtl/>
        </w:rPr>
        <w:t>وجهات نظر الطفل</w:t>
      </w:r>
    </w:p>
    <w:p w14:paraId="698D8916" w14:textId="77777777" w:rsidR="00CF68DE" w:rsidRPr="00DC6DB3" w:rsidRDefault="00EF7FE3" w:rsidP="00DC6DB3">
      <w:pPr>
        <w:pStyle w:val="ListParagraph"/>
        <w:numPr>
          <w:ilvl w:val="0"/>
          <w:numId w:val="3"/>
        </w:numPr>
        <w:bidi/>
        <w:spacing w:before="80" w:after="80"/>
        <w:ind w:left="357" w:hanging="357"/>
        <w:contextualSpacing w:val="0"/>
        <w:rPr>
          <w:rFonts w:ascii="Calibri" w:hAnsi="Calibri" w:cs="Calibri"/>
          <w:sz w:val="20"/>
          <w:szCs w:val="20"/>
          <w:rtl/>
        </w:rPr>
      </w:pPr>
      <w:r>
        <w:rPr>
          <w:rFonts w:ascii="Calibri" w:hAnsi="Calibri" w:hint="cs"/>
          <w:sz w:val="20"/>
          <w:rtl/>
        </w:rPr>
        <w:t>مشاعر الطفل ورغباته وتلك التي تم الحصول عليها من الطفل مباشرةً</w:t>
      </w:r>
    </w:p>
    <w:p w14:paraId="75D101C2" w14:textId="77777777" w:rsidR="00CF68DE" w:rsidRPr="00DC6DB3" w:rsidRDefault="00EF7FE3" w:rsidP="00DC6DB3">
      <w:pPr>
        <w:pStyle w:val="ListParagraph"/>
        <w:numPr>
          <w:ilvl w:val="0"/>
          <w:numId w:val="3"/>
        </w:numPr>
        <w:bidi/>
        <w:spacing w:before="80" w:after="80"/>
        <w:ind w:left="357" w:hanging="357"/>
        <w:contextualSpacing w:val="0"/>
        <w:rPr>
          <w:rFonts w:ascii="Calibri" w:hAnsi="Calibri" w:cs="Calibri"/>
          <w:sz w:val="20"/>
          <w:szCs w:val="20"/>
          <w:rtl/>
        </w:rPr>
      </w:pPr>
      <w:r>
        <w:rPr>
          <w:rFonts w:ascii="Calibri" w:hAnsi="Calibri" w:hint="cs"/>
          <w:sz w:val="20"/>
          <w:rtl/>
        </w:rPr>
        <w:t>الأهمية التي يتم منحها للطفل، في ضوء عمر الطفل ومدى نضوجه؛</w:t>
      </w:r>
    </w:p>
    <w:p w14:paraId="6E3D5779" w14:textId="77777777" w:rsidR="00EF7FE3" w:rsidRPr="00DC6DB3" w:rsidRDefault="00EF7FE3" w:rsidP="00DC6DB3">
      <w:pPr>
        <w:pStyle w:val="ListParagraph"/>
        <w:numPr>
          <w:ilvl w:val="0"/>
          <w:numId w:val="3"/>
        </w:numPr>
        <w:bidi/>
        <w:spacing w:before="80" w:after="80"/>
        <w:ind w:left="357" w:hanging="357"/>
        <w:contextualSpacing w:val="0"/>
        <w:rPr>
          <w:rFonts w:ascii="Calibri" w:hAnsi="Calibri" w:cs="Calibri"/>
          <w:sz w:val="20"/>
          <w:szCs w:val="20"/>
          <w:rtl/>
        </w:rPr>
      </w:pPr>
      <w:r>
        <w:rPr>
          <w:rFonts w:ascii="Calibri" w:hAnsi="Calibri" w:hint="cs"/>
          <w:sz w:val="20"/>
          <w:rtl/>
        </w:rPr>
        <w:t>قدرة الطفل على الاستيعاب وتقييم الآثار المترتبة على الخيارات المتنوعة.</w:t>
      </w:r>
    </w:p>
    <w:p w14:paraId="4251C1A8" w14:textId="77777777" w:rsidR="00EF7FE3" w:rsidRPr="00DC6DB3" w:rsidRDefault="00EF7FE3" w:rsidP="00DC6DB3">
      <w:pPr>
        <w:spacing w:before="80" w:after="80"/>
        <w:rPr>
          <w:rFonts w:ascii="Calibri" w:hAnsi="Calibri" w:cs="Calibri"/>
          <w:sz w:val="20"/>
          <w:szCs w:val="20"/>
        </w:rPr>
      </w:pPr>
    </w:p>
    <w:p w14:paraId="07C40861" w14:textId="778C210F" w:rsidR="00EF7FE3" w:rsidRPr="00DC6DB3" w:rsidRDefault="00EF7FE3" w:rsidP="00DC6DB3">
      <w:pPr>
        <w:bidi/>
        <w:spacing w:before="80" w:after="80"/>
        <w:rPr>
          <w:rFonts w:ascii="Calibri" w:hAnsi="Calibri" w:cs="Calibri"/>
          <w:color w:val="0070C0"/>
          <w:sz w:val="20"/>
          <w:szCs w:val="20"/>
          <w:rtl/>
        </w:rPr>
      </w:pPr>
      <w:r>
        <w:rPr>
          <w:rFonts w:ascii="Calibri" w:hAnsi="Calibri" w:hint="cs"/>
          <w:b/>
          <w:color w:val="0070C0"/>
          <w:sz w:val="20"/>
          <w:rtl/>
        </w:rPr>
        <w:t>البيئة الآمنة</w:t>
      </w:r>
    </w:p>
    <w:p w14:paraId="4ACA0683" w14:textId="0E07227E" w:rsidR="00EF7FE3" w:rsidRPr="00DC6DB3" w:rsidRDefault="00EF7FE3" w:rsidP="00DC6DB3">
      <w:pPr>
        <w:pStyle w:val="ListParagraph"/>
        <w:numPr>
          <w:ilvl w:val="0"/>
          <w:numId w:val="3"/>
        </w:numPr>
        <w:bidi/>
        <w:spacing w:before="80" w:after="80"/>
        <w:ind w:left="357" w:hanging="357"/>
        <w:contextualSpacing w:val="0"/>
        <w:rPr>
          <w:rFonts w:ascii="Calibri" w:hAnsi="Calibri" w:cs="Calibri"/>
          <w:sz w:val="20"/>
          <w:szCs w:val="20"/>
          <w:rtl/>
        </w:rPr>
      </w:pPr>
      <w:r>
        <w:rPr>
          <w:rFonts w:ascii="Calibri" w:hAnsi="Calibri" w:hint="cs"/>
          <w:sz w:val="20"/>
          <w:rtl/>
        </w:rPr>
        <w:t>عادةً ما تمثل السلامة أولوية. يتفوق التعرض أو التعرض المحتمل للضرر الشديد عادةً على العوامل الأخرى. لذا، ضع في اعتبارك:</w:t>
      </w:r>
    </w:p>
    <w:p w14:paraId="4368B5B8" w14:textId="77777777" w:rsidR="00CF68DE" w:rsidRPr="00DC6DB3" w:rsidRDefault="00EF7FE3" w:rsidP="00DC6DB3">
      <w:pPr>
        <w:pStyle w:val="ListParagraph"/>
        <w:numPr>
          <w:ilvl w:val="2"/>
          <w:numId w:val="7"/>
        </w:numPr>
        <w:bidi/>
        <w:spacing w:before="80" w:after="80"/>
        <w:ind w:left="717" w:right="200"/>
        <w:contextualSpacing w:val="0"/>
        <w:rPr>
          <w:rFonts w:ascii="Calibri" w:hAnsi="Calibri" w:cs="Calibri"/>
          <w:sz w:val="20"/>
          <w:szCs w:val="20"/>
          <w:rtl/>
        </w:rPr>
      </w:pPr>
      <w:r>
        <w:rPr>
          <w:rFonts w:ascii="Calibri" w:hAnsi="Calibri" w:hint="cs"/>
          <w:sz w:val="20"/>
          <w:rtl/>
        </w:rPr>
        <w:t>السلامة في الموقع الجغرافي/المنزل قيد النظر</w:t>
      </w:r>
    </w:p>
    <w:p w14:paraId="23101D6D" w14:textId="77777777" w:rsidR="00CF68DE" w:rsidRPr="00DC6DB3" w:rsidRDefault="00EF7FE3" w:rsidP="00DC6DB3">
      <w:pPr>
        <w:pStyle w:val="ListParagraph"/>
        <w:numPr>
          <w:ilvl w:val="2"/>
          <w:numId w:val="7"/>
        </w:numPr>
        <w:bidi/>
        <w:spacing w:before="80" w:after="80"/>
        <w:ind w:left="717" w:right="200"/>
        <w:contextualSpacing w:val="0"/>
        <w:rPr>
          <w:rFonts w:ascii="Calibri" w:hAnsi="Calibri" w:cs="Calibri"/>
          <w:sz w:val="20"/>
          <w:szCs w:val="20"/>
          <w:rtl/>
        </w:rPr>
      </w:pPr>
      <w:r>
        <w:rPr>
          <w:rFonts w:ascii="Calibri" w:hAnsi="Calibri" w:hint="cs"/>
          <w:sz w:val="20"/>
          <w:rtl/>
        </w:rPr>
        <w:t xml:space="preserve"> توافر معالجة طبية منقذة للحياة للأطفال المرضى</w:t>
      </w:r>
    </w:p>
    <w:p w14:paraId="5623DC00" w14:textId="470724B9" w:rsidR="00EF7FE3" w:rsidRPr="00DC6DB3" w:rsidRDefault="00EF7FE3" w:rsidP="00DC6DB3">
      <w:pPr>
        <w:pStyle w:val="ListParagraph"/>
        <w:numPr>
          <w:ilvl w:val="2"/>
          <w:numId w:val="7"/>
        </w:numPr>
        <w:bidi/>
        <w:spacing w:before="80" w:after="80"/>
        <w:ind w:left="717" w:right="200"/>
        <w:contextualSpacing w:val="0"/>
        <w:rPr>
          <w:rFonts w:ascii="Calibri" w:hAnsi="Calibri" w:cs="Calibri"/>
          <w:sz w:val="20"/>
          <w:szCs w:val="20"/>
          <w:rtl/>
        </w:rPr>
      </w:pPr>
      <w:r>
        <w:rPr>
          <w:rFonts w:ascii="Calibri" w:hAnsi="Calibri" w:hint="cs"/>
          <w:sz w:val="20"/>
          <w:rtl/>
        </w:rPr>
        <w:t xml:space="preserve"> الأذى السابق (معدل التكرار، والأنماط، والتوجهات)</w:t>
      </w:r>
    </w:p>
    <w:p w14:paraId="38BBDC05" w14:textId="77777777" w:rsidR="00EF7FE3" w:rsidRPr="00DC6DB3" w:rsidRDefault="00EF7FE3" w:rsidP="00DC6DB3">
      <w:pPr>
        <w:pStyle w:val="ListParagraph"/>
        <w:numPr>
          <w:ilvl w:val="2"/>
          <w:numId w:val="7"/>
        </w:numPr>
        <w:bidi/>
        <w:spacing w:before="80" w:after="80"/>
        <w:ind w:left="717"/>
        <w:contextualSpacing w:val="0"/>
        <w:rPr>
          <w:rFonts w:ascii="Calibri" w:hAnsi="Calibri" w:cs="Calibri"/>
          <w:sz w:val="20"/>
          <w:szCs w:val="20"/>
          <w:rtl/>
        </w:rPr>
      </w:pPr>
      <w:r>
        <w:rPr>
          <w:rFonts w:ascii="Calibri" w:hAnsi="Calibri" w:hint="cs"/>
          <w:sz w:val="20"/>
          <w:rtl/>
        </w:rPr>
        <w:t>القدرة على المراقبة</w:t>
      </w:r>
    </w:p>
    <w:p w14:paraId="19F47480" w14:textId="77777777" w:rsidR="00EF7FE3" w:rsidRPr="00DC6DB3" w:rsidRDefault="00EF7FE3" w:rsidP="00DC6DB3">
      <w:pPr>
        <w:pStyle w:val="ListParagraph"/>
        <w:numPr>
          <w:ilvl w:val="2"/>
          <w:numId w:val="7"/>
        </w:numPr>
        <w:bidi/>
        <w:spacing w:before="80" w:after="80"/>
        <w:ind w:left="717"/>
        <w:contextualSpacing w:val="0"/>
        <w:rPr>
          <w:rFonts w:ascii="Calibri" w:hAnsi="Calibri" w:cs="Calibri"/>
          <w:sz w:val="20"/>
          <w:szCs w:val="20"/>
          <w:rtl/>
        </w:rPr>
      </w:pPr>
      <w:r>
        <w:rPr>
          <w:rFonts w:ascii="Calibri" w:hAnsi="Calibri" w:hint="cs"/>
          <w:sz w:val="20"/>
          <w:rtl/>
        </w:rPr>
        <w:t>ما إذا كانت الأسباب الجذرية للأذى السابق لا تزال قائمة.</w:t>
      </w:r>
    </w:p>
    <w:p w14:paraId="52260D51" w14:textId="77777777" w:rsidR="00EF7FE3" w:rsidRPr="00DC6DB3" w:rsidRDefault="00EF7FE3" w:rsidP="00DC6DB3">
      <w:pPr>
        <w:spacing w:before="80" w:after="80"/>
        <w:rPr>
          <w:rFonts w:ascii="Calibri" w:hAnsi="Calibri" w:cs="Calibri"/>
          <w:sz w:val="20"/>
          <w:szCs w:val="20"/>
        </w:rPr>
      </w:pPr>
    </w:p>
    <w:p w14:paraId="18D9CCD2" w14:textId="77777777" w:rsidR="00EF7FE3" w:rsidRPr="00DC6DB3" w:rsidRDefault="00EF7FE3" w:rsidP="00DC6DB3">
      <w:pPr>
        <w:bidi/>
        <w:spacing w:before="80" w:after="80"/>
        <w:rPr>
          <w:rFonts w:ascii="Calibri" w:hAnsi="Calibri" w:cs="Calibri"/>
          <w:color w:val="0070C0"/>
          <w:sz w:val="20"/>
          <w:szCs w:val="20"/>
          <w:rtl/>
        </w:rPr>
      </w:pPr>
      <w:r>
        <w:rPr>
          <w:rFonts w:ascii="Calibri" w:hAnsi="Calibri" w:hint="cs"/>
          <w:b/>
          <w:color w:val="0070C0"/>
          <w:sz w:val="20"/>
          <w:rtl/>
        </w:rPr>
        <w:t>العلاقات الأسرية والعلاقات الوثيقة</w:t>
      </w:r>
    </w:p>
    <w:p w14:paraId="0DDB5D5C" w14:textId="77777777" w:rsidR="00EF7FE3" w:rsidRPr="00DC6DB3" w:rsidRDefault="00EF7FE3" w:rsidP="00DC6DB3">
      <w:pPr>
        <w:bidi/>
        <w:spacing w:before="80" w:after="80"/>
        <w:rPr>
          <w:rFonts w:ascii="Calibri" w:hAnsi="Calibri" w:cs="Calibri"/>
          <w:b/>
          <w:bCs/>
          <w:sz w:val="20"/>
          <w:szCs w:val="20"/>
          <w:rtl/>
        </w:rPr>
      </w:pPr>
      <w:r>
        <w:rPr>
          <w:rFonts w:ascii="Calibri" w:hAnsi="Calibri" w:hint="cs"/>
          <w:b/>
          <w:sz w:val="20"/>
          <w:rtl/>
        </w:rPr>
        <w:t>أ) عوامل عامة:</w:t>
      </w:r>
    </w:p>
    <w:p w14:paraId="63C52093" w14:textId="410793EC" w:rsidR="00EF7FE3" w:rsidRPr="00DC6DB3" w:rsidRDefault="00EF7FE3" w:rsidP="00DC6DB3">
      <w:pPr>
        <w:pStyle w:val="ListParagraph"/>
        <w:numPr>
          <w:ilvl w:val="1"/>
          <w:numId w:val="3"/>
        </w:numPr>
        <w:bidi/>
        <w:spacing w:before="80" w:after="80"/>
        <w:contextualSpacing w:val="0"/>
        <w:rPr>
          <w:rFonts w:ascii="Calibri" w:hAnsi="Calibri" w:cs="Calibri"/>
          <w:sz w:val="20"/>
          <w:szCs w:val="20"/>
          <w:rtl/>
        </w:rPr>
      </w:pPr>
      <w:r>
        <w:rPr>
          <w:rFonts w:ascii="Calibri" w:hAnsi="Calibri" w:hint="cs"/>
          <w:sz w:val="20"/>
          <w:rtl/>
        </w:rPr>
        <w:t>جودة العلاقة ومدتها ودرجة ارتباط الطفل بالآتي:</w:t>
      </w:r>
    </w:p>
    <w:p w14:paraId="1C7FA3C9" w14:textId="77777777" w:rsidR="00EF7FE3" w:rsidRPr="00DC6DB3" w:rsidRDefault="00EF7FE3" w:rsidP="00DC6DB3">
      <w:pPr>
        <w:pStyle w:val="ListParagraph"/>
        <w:numPr>
          <w:ilvl w:val="0"/>
          <w:numId w:val="4"/>
        </w:numPr>
        <w:bidi/>
        <w:spacing w:before="80" w:after="80"/>
        <w:contextualSpacing w:val="0"/>
        <w:rPr>
          <w:rFonts w:ascii="Calibri" w:hAnsi="Calibri" w:cs="Calibri"/>
          <w:sz w:val="20"/>
          <w:szCs w:val="20"/>
          <w:rtl/>
        </w:rPr>
      </w:pPr>
      <w:r>
        <w:rPr>
          <w:rFonts w:ascii="Calibri" w:hAnsi="Calibri" w:hint="cs"/>
          <w:sz w:val="20"/>
          <w:rtl/>
        </w:rPr>
        <w:t>الأشقاء</w:t>
      </w:r>
    </w:p>
    <w:p w14:paraId="67BB1D93" w14:textId="77777777" w:rsidR="00EF7FE3" w:rsidRPr="00DC6DB3" w:rsidRDefault="00EF7FE3" w:rsidP="00DC6DB3">
      <w:pPr>
        <w:pStyle w:val="ListParagraph"/>
        <w:numPr>
          <w:ilvl w:val="0"/>
          <w:numId w:val="4"/>
        </w:numPr>
        <w:bidi/>
        <w:spacing w:before="80" w:after="80"/>
        <w:contextualSpacing w:val="0"/>
        <w:rPr>
          <w:rFonts w:ascii="Calibri" w:hAnsi="Calibri" w:cs="Calibri"/>
          <w:sz w:val="20"/>
          <w:szCs w:val="20"/>
          <w:rtl/>
        </w:rPr>
      </w:pPr>
      <w:r>
        <w:rPr>
          <w:rFonts w:ascii="Calibri" w:hAnsi="Calibri" w:hint="cs"/>
          <w:sz w:val="20"/>
          <w:rtl/>
        </w:rPr>
        <w:t>أفراد الأسرة الآخرين</w:t>
      </w:r>
    </w:p>
    <w:p w14:paraId="106A7C27" w14:textId="77777777" w:rsidR="00EF7FE3" w:rsidRPr="00DC6DB3" w:rsidRDefault="00EF7FE3" w:rsidP="00DC6DB3">
      <w:pPr>
        <w:pStyle w:val="ListParagraph"/>
        <w:numPr>
          <w:ilvl w:val="0"/>
          <w:numId w:val="4"/>
        </w:numPr>
        <w:bidi/>
        <w:spacing w:before="80" w:after="80"/>
        <w:contextualSpacing w:val="0"/>
        <w:rPr>
          <w:rFonts w:ascii="Calibri" w:hAnsi="Calibri" w:cs="Calibri"/>
          <w:sz w:val="20"/>
          <w:szCs w:val="20"/>
          <w:rtl/>
        </w:rPr>
      </w:pPr>
      <w:r>
        <w:rPr>
          <w:rFonts w:ascii="Calibri" w:hAnsi="Calibri" w:hint="cs"/>
          <w:sz w:val="20"/>
          <w:rtl/>
        </w:rPr>
        <w:t>البالغين أو الأطفال الآخرين في المجتمع الثقافي وأي مقدم رعاية محتمل؛</w:t>
      </w:r>
    </w:p>
    <w:p w14:paraId="60299F49" w14:textId="77777777" w:rsidR="00EF7FE3" w:rsidRPr="00DC6DB3" w:rsidRDefault="00EF7FE3" w:rsidP="00DC6DB3">
      <w:pPr>
        <w:pStyle w:val="ListParagraph"/>
        <w:numPr>
          <w:ilvl w:val="1"/>
          <w:numId w:val="3"/>
        </w:numPr>
        <w:bidi/>
        <w:spacing w:before="80" w:after="80"/>
        <w:contextualSpacing w:val="0"/>
        <w:rPr>
          <w:rFonts w:ascii="Calibri" w:hAnsi="Calibri" w:cs="Calibri"/>
          <w:sz w:val="20"/>
          <w:szCs w:val="20"/>
          <w:rtl/>
        </w:rPr>
      </w:pPr>
      <w:r>
        <w:rPr>
          <w:rFonts w:ascii="Calibri" w:hAnsi="Calibri" w:hint="cs"/>
          <w:sz w:val="20"/>
          <w:rtl/>
        </w:rPr>
        <w:t>التأثير المحتمل للانفصال عن الأسرة أو التغيير في مقدمي الرعاية للطفل؛</w:t>
      </w:r>
    </w:p>
    <w:p w14:paraId="37D0996C" w14:textId="77777777" w:rsidR="00B27CF0" w:rsidRPr="00DC6DB3" w:rsidRDefault="00EF7FE3" w:rsidP="00DC6DB3">
      <w:pPr>
        <w:pStyle w:val="ListParagraph"/>
        <w:numPr>
          <w:ilvl w:val="1"/>
          <w:numId w:val="3"/>
        </w:numPr>
        <w:bidi/>
        <w:spacing w:before="80" w:after="80"/>
        <w:ind w:right="280"/>
        <w:contextualSpacing w:val="0"/>
        <w:rPr>
          <w:rFonts w:ascii="Calibri" w:hAnsi="Calibri" w:cs="Calibri"/>
          <w:sz w:val="20"/>
          <w:szCs w:val="20"/>
          <w:rtl/>
        </w:rPr>
      </w:pPr>
      <w:r>
        <w:rPr>
          <w:rFonts w:ascii="Calibri" w:hAnsi="Calibri" w:hint="cs"/>
          <w:sz w:val="20"/>
          <w:rtl/>
        </w:rPr>
        <w:t>قدرة مقدمي الرعاية الحاليين أو المحتملين على رعاية الطفل؛</w:t>
      </w:r>
    </w:p>
    <w:p w14:paraId="589A9F45" w14:textId="77777777" w:rsidR="00EF7FE3" w:rsidRPr="00DC6DB3" w:rsidRDefault="00EF7FE3" w:rsidP="00DC6DB3">
      <w:pPr>
        <w:pStyle w:val="ListParagraph"/>
        <w:numPr>
          <w:ilvl w:val="1"/>
          <w:numId w:val="3"/>
        </w:numPr>
        <w:bidi/>
        <w:spacing w:before="80" w:after="80"/>
        <w:ind w:right="280"/>
        <w:contextualSpacing w:val="0"/>
        <w:rPr>
          <w:rFonts w:ascii="Calibri" w:hAnsi="Calibri" w:cs="Calibri"/>
          <w:sz w:val="20"/>
          <w:szCs w:val="20"/>
          <w:rtl/>
        </w:rPr>
      </w:pPr>
      <w:r>
        <w:rPr>
          <w:rFonts w:ascii="Calibri" w:hAnsi="Calibri" w:hint="cs"/>
          <w:sz w:val="20"/>
          <w:rtl/>
        </w:rPr>
        <w:t xml:space="preserve"> وجهات نظر الأشخاص المقربين من الطفل؛ عند الاقتضاء.</w:t>
      </w:r>
    </w:p>
    <w:p w14:paraId="3EDD0E81" w14:textId="77777777" w:rsidR="00EF7FE3" w:rsidRPr="00DC6DB3" w:rsidRDefault="00EF7FE3" w:rsidP="00DC6DB3">
      <w:pPr>
        <w:spacing w:before="80" w:after="80"/>
        <w:rPr>
          <w:rFonts w:ascii="Calibri" w:hAnsi="Calibri" w:cs="Calibri"/>
          <w:sz w:val="20"/>
          <w:szCs w:val="20"/>
        </w:rPr>
      </w:pPr>
    </w:p>
    <w:p w14:paraId="41824F0B" w14:textId="77777777" w:rsidR="00EF7FE3" w:rsidRPr="00DC6DB3" w:rsidRDefault="00EF7FE3" w:rsidP="00DC6DB3">
      <w:pPr>
        <w:numPr>
          <w:ilvl w:val="0"/>
          <w:numId w:val="1"/>
        </w:numPr>
        <w:tabs>
          <w:tab w:val="left" w:pos="830"/>
        </w:tabs>
        <w:bidi/>
        <w:spacing w:before="80" w:after="80"/>
        <w:ind w:left="357" w:hanging="357"/>
        <w:rPr>
          <w:rFonts w:ascii="Calibri" w:eastAsia="Tw Cen MT" w:hAnsi="Calibri" w:cs="Calibri"/>
          <w:b/>
          <w:bCs/>
          <w:sz w:val="20"/>
          <w:szCs w:val="20"/>
          <w:rtl/>
        </w:rPr>
      </w:pPr>
      <w:r>
        <w:rPr>
          <w:rFonts w:ascii="Calibri" w:hAnsi="Calibri" w:hint="cs"/>
          <w:b/>
          <w:sz w:val="20"/>
          <w:rtl/>
        </w:rPr>
        <w:t>العوامل ذات الصلة خصوصًا بالحلول الدائمة للأطفال غير المصحوبين بأقاربهم أو المنفصلين عن أقاربهم:</w:t>
      </w:r>
    </w:p>
    <w:p w14:paraId="2A16771D" w14:textId="77777777" w:rsidR="00EF7FE3" w:rsidRPr="00DC6DB3" w:rsidRDefault="00EF7FE3" w:rsidP="00DC6DB3">
      <w:pPr>
        <w:pStyle w:val="ListParagraph"/>
        <w:numPr>
          <w:ilvl w:val="1"/>
          <w:numId w:val="3"/>
        </w:numPr>
        <w:bidi/>
        <w:spacing w:before="80" w:after="80"/>
        <w:ind w:right="280"/>
        <w:contextualSpacing w:val="0"/>
        <w:rPr>
          <w:rFonts w:ascii="Calibri" w:eastAsia="Tw Cen MT" w:hAnsi="Calibri" w:cs="Calibri"/>
          <w:sz w:val="20"/>
          <w:szCs w:val="20"/>
          <w:rtl/>
        </w:rPr>
      </w:pPr>
      <w:r>
        <w:rPr>
          <w:rFonts w:ascii="Calibri" w:hAnsi="Calibri" w:hint="cs"/>
          <w:sz w:val="20"/>
          <w:rtl/>
        </w:rPr>
        <w:t>احتمالية لمّ شمل الأسرة (يُفترض عادةً أنها من المصالح الفضلى). لذا، فكِّر فيما إذا:</w:t>
      </w:r>
    </w:p>
    <w:p w14:paraId="3AE46F19" w14:textId="77777777" w:rsidR="00EF7FE3" w:rsidRPr="00DC6DB3" w:rsidRDefault="00EF7FE3" w:rsidP="00DC6DB3">
      <w:pPr>
        <w:pStyle w:val="ListParagraph"/>
        <w:numPr>
          <w:ilvl w:val="2"/>
          <w:numId w:val="4"/>
        </w:numPr>
        <w:bidi/>
        <w:spacing w:before="80" w:after="80"/>
        <w:contextualSpacing w:val="0"/>
        <w:rPr>
          <w:rFonts w:ascii="Calibri" w:eastAsia="Tw Cen MT" w:hAnsi="Calibri" w:cs="Calibri"/>
          <w:sz w:val="20"/>
          <w:szCs w:val="20"/>
          <w:rtl/>
        </w:rPr>
      </w:pPr>
      <w:r>
        <w:rPr>
          <w:rFonts w:ascii="Calibri" w:hAnsi="Calibri" w:hint="cs"/>
          <w:sz w:val="20"/>
          <w:rtl/>
        </w:rPr>
        <w:t>قد تم الشروع في البحث وظهرت نتائجه</w:t>
      </w:r>
    </w:p>
    <w:p w14:paraId="6886EA92" w14:textId="77777777" w:rsidR="00EF7FE3" w:rsidRPr="00DC6DB3" w:rsidRDefault="00EF7FE3" w:rsidP="00DC6DB3">
      <w:pPr>
        <w:pStyle w:val="ListParagraph"/>
        <w:numPr>
          <w:ilvl w:val="2"/>
          <w:numId w:val="4"/>
        </w:numPr>
        <w:bidi/>
        <w:spacing w:before="80" w:after="80"/>
        <w:contextualSpacing w:val="0"/>
        <w:rPr>
          <w:rFonts w:ascii="Calibri" w:eastAsia="Tw Cen MT" w:hAnsi="Calibri" w:cs="Calibri"/>
          <w:sz w:val="20"/>
          <w:szCs w:val="20"/>
          <w:rtl/>
        </w:rPr>
      </w:pPr>
      <w:r>
        <w:rPr>
          <w:rFonts w:ascii="Calibri" w:hAnsi="Calibri" w:hint="cs"/>
          <w:sz w:val="20"/>
          <w:rtl/>
        </w:rPr>
        <w:t>قد تم التحقق من الجهود المبذولة لربط الوالدين/الأسرة مباشرةً بالطفل</w:t>
      </w:r>
    </w:p>
    <w:p w14:paraId="1AE1D0BD" w14:textId="77777777" w:rsidR="00EF7FE3" w:rsidRPr="00DC6DB3" w:rsidRDefault="00EF7FE3" w:rsidP="00DC6DB3">
      <w:pPr>
        <w:pStyle w:val="ListParagraph"/>
        <w:numPr>
          <w:ilvl w:val="2"/>
          <w:numId w:val="4"/>
        </w:numPr>
        <w:bidi/>
        <w:spacing w:before="80" w:after="80"/>
        <w:contextualSpacing w:val="0"/>
        <w:rPr>
          <w:rFonts w:ascii="Calibri" w:eastAsia="Tw Cen MT" w:hAnsi="Calibri" w:cs="Calibri"/>
          <w:sz w:val="20"/>
          <w:szCs w:val="20"/>
          <w:rtl/>
        </w:rPr>
      </w:pPr>
      <w:r>
        <w:rPr>
          <w:rFonts w:ascii="Calibri" w:hAnsi="Calibri" w:hint="cs"/>
          <w:sz w:val="20"/>
          <w:rtl/>
        </w:rPr>
        <w:t>كان الطفل وفرد الأسرة على استعداد للمّ الشمل، وإذا لم يكن الأمر كذلك، فما أسباب عدم الرغبة في ذلك.</w:t>
      </w:r>
    </w:p>
    <w:p w14:paraId="64119323" w14:textId="77777777" w:rsidR="00EF7FE3" w:rsidRPr="00DC6DB3" w:rsidRDefault="00EF7FE3" w:rsidP="00DC6DB3">
      <w:pPr>
        <w:tabs>
          <w:tab w:val="left" w:pos="736"/>
        </w:tabs>
        <w:spacing w:before="80" w:after="80"/>
        <w:ind w:left="880" w:right="1180"/>
        <w:rPr>
          <w:rFonts w:ascii="Calibri" w:eastAsia="Tw Cen MT" w:hAnsi="Calibri" w:cs="Calibri"/>
          <w:sz w:val="20"/>
          <w:szCs w:val="20"/>
        </w:rPr>
      </w:pPr>
    </w:p>
    <w:p w14:paraId="11469390" w14:textId="77777777" w:rsidR="00EF7FE3" w:rsidRPr="00DC6DB3" w:rsidRDefault="00EF7FE3" w:rsidP="00DC6DB3">
      <w:pPr>
        <w:numPr>
          <w:ilvl w:val="0"/>
          <w:numId w:val="1"/>
        </w:numPr>
        <w:tabs>
          <w:tab w:val="left" w:pos="830"/>
        </w:tabs>
        <w:bidi/>
        <w:spacing w:before="80" w:after="80"/>
        <w:ind w:left="357" w:hanging="357"/>
        <w:rPr>
          <w:rFonts w:ascii="Calibri" w:eastAsia="Tw Cen MT" w:hAnsi="Calibri" w:cs="Calibri"/>
          <w:b/>
          <w:bCs/>
          <w:sz w:val="20"/>
          <w:szCs w:val="20"/>
          <w:rtl/>
        </w:rPr>
      </w:pPr>
      <w:r>
        <w:rPr>
          <w:rFonts w:ascii="Calibri" w:hAnsi="Calibri" w:hint="cs"/>
          <w:b/>
          <w:sz w:val="20"/>
          <w:rtl/>
        </w:rPr>
        <w:t>العوامل ذات الصلة خصوصًا بترتيبات الرعاية المؤقتة: الاحتفاظ بالعلاقات الأسرية والعلاقات مع الأشقاء؛</w:t>
      </w:r>
    </w:p>
    <w:p w14:paraId="5B97B9BA" w14:textId="77777777" w:rsidR="00EF7FE3" w:rsidRPr="00DC6DB3" w:rsidRDefault="00EF7FE3" w:rsidP="00DC6DB3">
      <w:pPr>
        <w:pStyle w:val="ListParagraph"/>
        <w:numPr>
          <w:ilvl w:val="1"/>
          <w:numId w:val="3"/>
        </w:numPr>
        <w:bidi/>
        <w:spacing w:before="80" w:after="80"/>
        <w:contextualSpacing w:val="0"/>
        <w:rPr>
          <w:rFonts w:ascii="Calibri" w:eastAsia="Tw Cen MT" w:hAnsi="Calibri" w:cs="Calibri"/>
          <w:sz w:val="20"/>
          <w:szCs w:val="20"/>
          <w:rtl/>
        </w:rPr>
      </w:pPr>
      <w:r>
        <w:rPr>
          <w:rFonts w:ascii="Calibri" w:hAnsi="Calibri" w:hint="cs"/>
          <w:sz w:val="20"/>
          <w:rtl/>
        </w:rPr>
        <w:t>آفاق الرعاية في محيط الأسرة؛</w:t>
      </w:r>
    </w:p>
    <w:p w14:paraId="66BCFA2C" w14:textId="77777777" w:rsidR="00EF7FE3" w:rsidRPr="00DC6DB3" w:rsidRDefault="00EF7FE3" w:rsidP="00DC6DB3">
      <w:pPr>
        <w:pStyle w:val="ListParagraph"/>
        <w:numPr>
          <w:ilvl w:val="1"/>
          <w:numId w:val="3"/>
        </w:numPr>
        <w:bidi/>
        <w:spacing w:before="80" w:after="80"/>
        <w:contextualSpacing w:val="0"/>
        <w:rPr>
          <w:rFonts w:ascii="Calibri" w:eastAsia="Tw Cen MT" w:hAnsi="Calibri" w:cs="Calibri"/>
          <w:sz w:val="20"/>
          <w:szCs w:val="20"/>
          <w:rtl/>
        </w:rPr>
      </w:pPr>
      <w:r>
        <w:rPr>
          <w:rFonts w:ascii="Calibri" w:hAnsi="Calibri" w:hint="cs"/>
          <w:sz w:val="20"/>
          <w:rtl/>
        </w:rPr>
        <w:t>آفاق استخدام أنظمة الرعاية المجتمعية (شريطةً أن تكون آمنة وفعالة).</w:t>
      </w:r>
    </w:p>
    <w:p w14:paraId="7AD64F82" w14:textId="77777777" w:rsidR="00EF7FE3" w:rsidRPr="00DC6DB3" w:rsidRDefault="00EF7FE3" w:rsidP="00DC6DB3">
      <w:pPr>
        <w:spacing w:before="80" w:after="80"/>
        <w:rPr>
          <w:rFonts w:ascii="Calibri" w:eastAsia="Tw Cen MT" w:hAnsi="Calibri" w:cs="Calibri"/>
          <w:sz w:val="20"/>
          <w:szCs w:val="20"/>
        </w:rPr>
      </w:pPr>
    </w:p>
    <w:p w14:paraId="0AB53327" w14:textId="77777777" w:rsidR="00EF7FE3" w:rsidRPr="00DC6DB3" w:rsidRDefault="00EF7FE3" w:rsidP="00DC6DB3">
      <w:pPr>
        <w:numPr>
          <w:ilvl w:val="0"/>
          <w:numId w:val="1"/>
        </w:numPr>
        <w:tabs>
          <w:tab w:val="left" w:pos="830"/>
        </w:tabs>
        <w:bidi/>
        <w:spacing w:before="80" w:after="80"/>
        <w:ind w:left="357" w:hanging="357"/>
        <w:rPr>
          <w:rFonts w:ascii="Calibri" w:eastAsia="Tw Cen MT" w:hAnsi="Calibri" w:cs="Calibri"/>
          <w:b/>
          <w:bCs/>
          <w:sz w:val="20"/>
          <w:szCs w:val="20"/>
          <w:rtl/>
        </w:rPr>
      </w:pPr>
      <w:r>
        <w:rPr>
          <w:rFonts w:ascii="Calibri" w:hAnsi="Calibri" w:hint="cs"/>
          <w:b/>
          <w:sz w:val="20"/>
          <w:rtl/>
        </w:rPr>
        <w:t>العوامل ذات الصلة خصوصًا بفصل الطفل عن والديه رغمًا عنهما (لا يوصى بذلك عادةً):</w:t>
      </w:r>
    </w:p>
    <w:p w14:paraId="64781BA2" w14:textId="77777777" w:rsidR="00EF7FE3" w:rsidRPr="00DC6DB3" w:rsidRDefault="00EF7FE3" w:rsidP="00DC6DB3">
      <w:pPr>
        <w:pStyle w:val="ListParagraph"/>
        <w:numPr>
          <w:ilvl w:val="1"/>
          <w:numId w:val="3"/>
        </w:numPr>
        <w:bidi/>
        <w:spacing w:before="80" w:after="80"/>
        <w:contextualSpacing w:val="0"/>
        <w:rPr>
          <w:rFonts w:ascii="Calibri" w:eastAsia="Tw Cen MT" w:hAnsi="Calibri" w:cs="Calibri"/>
          <w:sz w:val="20"/>
          <w:szCs w:val="20"/>
          <w:rtl/>
        </w:rPr>
      </w:pPr>
      <w:r>
        <w:rPr>
          <w:rFonts w:ascii="Calibri" w:hAnsi="Calibri" w:hint="cs"/>
          <w:sz w:val="20"/>
          <w:rtl/>
        </w:rPr>
        <w:t>وجهات نظر كلا الوالدين وأهمية الارتباط بهما؛</w:t>
      </w:r>
    </w:p>
    <w:p w14:paraId="6EC90617" w14:textId="77777777" w:rsidR="00EF7FE3" w:rsidRPr="00DC6DB3" w:rsidRDefault="00EF7FE3" w:rsidP="00DC6DB3">
      <w:pPr>
        <w:pStyle w:val="ListParagraph"/>
        <w:numPr>
          <w:ilvl w:val="1"/>
          <w:numId w:val="3"/>
        </w:numPr>
        <w:bidi/>
        <w:spacing w:before="80" w:after="80"/>
        <w:contextualSpacing w:val="0"/>
        <w:rPr>
          <w:rFonts w:ascii="Calibri" w:eastAsia="Tw Cen MT" w:hAnsi="Calibri" w:cs="Calibri"/>
          <w:sz w:val="20"/>
          <w:szCs w:val="20"/>
          <w:rtl/>
        </w:rPr>
      </w:pPr>
      <w:r>
        <w:rPr>
          <w:rFonts w:ascii="Calibri" w:hAnsi="Calibri" w:hint="cs"/>
          <w:sz w:val="20"/>
          <w:rtl/>
        </w:rPr>
        <w:t>جودة العلاقة بين الطفل والوالدين والتأثير المحتمل للفصل؛</w:t>
      </w:r>
    </w:p>
    <w:p w14:paraId="30FBA44E" w14:textId="77777777" w:rsidR="00EF7FE3" w:rsidRPr="00DC6DB3" w:rsidRDefault="00EF7FE3" w:rsidP="00DC6DB3">
      <w:pPr>
        <w:pStyle w:val="ListParagraph"/>
        <w:numPr>
          <w:ilvl w:val="1"/>
          <w:numId w:val="3"/>
        </w:numPr>
        <w:bidi/>
        <w:spacing w:before="80" w:after="80"/>
        <w:contextualSpacing w:val="0"/>
        <w:rPr>
          <w:rFonts w:ascii="Calibri" w:eastAsia="Tw Cen MT" w:hAnsi="Calibri" w:cs="Calibri"/>
          <w:sz w:val="20"/>
          <w:szCs w:val="20"/>
          <w:rtl/>
        </w:rPr>
      </w:pPr>
      <w:r>
        <w:rPr>
          <w:rFonts w:ascii="Calibri" w:hAnsi="Calibri" w:hint="cs"/>
          <w:sz w:val="20"/>
          <w:rtl/>
        </w:rPr>
        <w:lastRenderedPageBreak/>
        <w:t>قدرة الوالدين على رعاية الطفل؛</w:t>
      </w:r>
    </w:p>
    <w:p w14:paraId="40DB193B" w14:textId="77777777" w:rsidR="00EF7FE3" w:rsidRPr="00DC6DB3" w:rsidRDefault="00EF7FE3" w:rsidP="00DC6DB3">
      <w:pPr>
        <w:pStyle w:val="ListParagraph"/>
        <w:numPr>
          <w:ilvl w:val="1"/>
          <w:numId w:val="3"/>
        </w:numPr>
        <w:bidi/>
        <w:spacing w:before="80" w:after="80"/>
        <w:contextualSpacing w:val="0"/>
        <w:rPr>
          <w:rFonts w:ascii="Calibri" w:eastAsia="Tw Cen MT" w:hAnsi="Calibri" w:cs="Calibri"/>
          <w:sz w:val="20"/>
          <w:szCs w:val="20"/>
          <w:rtl/>
        </w:rPr>
      </w:pPr>
      <w:r>
        <w:rPr>
          <w:rFonts w:ascii="Calibri" w:hAnsi="Calibri" w:hint="cs"/>
          <w:sz w:val="20"/>
          <w:rtl/>
        </w:rPr>
        <w:t>قدرة أفراد الأسرة الموسعة على رعاية الطفل؛</w:t>
      </w:r>
    </w:p>
    <w:p w14:paraId="3063BE8E" w14:textId="77777777" w:rsidR="00EF7FE3" w:rsidRPr="00DC6DB3" w:rsidRDefault="00EF7FE3" w:rsidP="00DC6DB3">
      <w:pPr>
        <w:pStyle w:val="ListParagraph"/>
        <w:numPr>
          <w:ilvl w:val="1"/>
          <w:numId w:val="3"/>
        </w:numPr>
        <w:bidi/>
        <w:spacing w:before="80" w:after="80"/>
        <w:contextualSpacing w:val="0"/>
        <w:rPr>
          <w:rFonts w:ascii="Calibri" w:eastAsia="Tw Cen MT" w:hAnsi="Calibri" w:cs="Calibri"/>
          <w:sz w:val="20"/>
          <w:szCs w:val="20"/>
          <w:rtl/>
        </w:rPr>
      </w:pPr>
      <w:r>
        <w:rPr>
          <w:rFonts w:ascii="Calibri" w:hAnsi="Calibri" w:hint="cs"/>
          <w:sz w:val="20"/>
          <w:rtl/>
        </w:rPr>
        <w:t>اعتبارات التناسب في الحالات التي تنطوي على العزل من الأسرة. لذا، ضع في اعتبارك:</w:t>
      </w:r>
    </w:p>
    <w:p w14:paraId="7D922A6B" w14:textId="77777777" w:rsidR="00EF7FE3" w:rsidRPr="00DC6DB3" w:rsidRDefault="00EF7FE3" w:rsidP="00DC6DB3">
      <w:pPr>
        <w:pStyle w:val="ListParagraph"/>
        <w:numPr>
          <w:ilvl w:val="2"/>
          <w:numId w:val="4"/>
        </w:numPr>
        <w:bidi/>
        <w:spacing w:before="80" w:after="80"/>
        <w:contextualSpacing w:val="0"/>
        <w:rPr>
          <w:rFonts w:ascii="Calibri" w:eastAsia="Tw Cen MT" w:hAnsi="Calibri" w:cs="Calibri"/>
          <w:sz w:val="20"/>
          <w:szCs w:val="20"/>
          <w:rtl/>
        </w:rPr>
      </w:pPr>
      <w:r>
        <w:rPr>
          <w:rFonts w:ascii="Calibri" w:hAnsi="Calibri" w:hint="cs"/>
          <w:sz w:val="20"/>
          <w:rtl/>
        </w:rPr>
        <w:t>الخيارات المتاحة للتعامل مع المشكلات بطريقةٍ أقل تطفلًا</w:t>
      </w:r>
    </w:p>
    <w:p w14:paraId="6B724D18" w14:textId="77777777" w:rsidR="00B27CF0" w:rsidRPr="00DC6DB3" w:rsidRDefault="00EF7FE3" w:rsidP="00DC6DB3">
      <w:pPr>
        <w:pStyle w:val="ListParagraph"/>
        <w:numPr>
          <w:ilvl w:val="2"/>
          <w:numId w:val="4"/>
        </w:numPr>
        <w:bidi/>
        <w:spacing w:before="80" w:after="80"/>
        <w:contextualSpacing w:val="0"/>
        <w:rPr>
          <w:rFonts w:ascii="Calibri" w:eastAsia="Tw Cen MT" w:hAnsi="Calibri" w:cs="Calibri"/>
          <w:sz w:val="20"/>
          <w:szCs w:val="20"/>
          <w:rtl/>
        </w:rPr>
      </w:pPr>
      <w:r>
        <w:rPr>
          <w:rFonts w:ascii="Calibri" w:hAnsi="Calibri" w:hint="cs"/>
          <w:sz w:val="20"/>
          <w:rtl/>
        </w:rPr>
        <w:t>الحفاظ على الحد الأدنى من استمرارية التواصل (على سبيل المثال تحت الإشراف)</w:t>
      </w:r>
    </w:p>
    <w:p w14:paraId="1B04863C" w14:textId="77777777" w:rsidR="00EF7FE3" w:rsidRPr="00DC6DB3" w:rsidRDefault="00EF7FE3" w:rsidP="00DC6DB3">
      <w:pPr>
        <w:pStyle w:val="ListParagraph"/>
        <w:numPr>
          <w:ilvl w:val="2"/>
          <w:numId w:val="4"/>
        </w:numPr>
        <w:bidi/>
        <w:spacing w:before="80" w:after="80"/>
        <w:contextualSpacing w:val="0"/>
        <w:rPr>
          <w:rFonts w:ascii="Calibri" w:eastAsia="Tw Cen MT" w:hAnsi="Calibri" w:cs="Calibri"/>
          <w:sz w:val="20"/>
          <w:szCs w:val="20"/>
          <w:rtl/>
        </w:rPr>
      </w:pPr>
      <w:r>
        <w:rPr>
          <w:rFonts w:ascii="Calibri" w:hAnsi="Calibri" w:hint="cs"/>
          <w:sz w:val="20"/>
          <w:rtl/>
        </w:rPr>
        <w:t xml:space="preserve"> الفصل لأقصر مدة زمنية وتحديد موعد نهائي مبكر للمراجعة؛</w:t>
      </w:r>
    </w:p>
    <w:p w14:paraId="179E70A9" w14:textId="77777777" w:rsidR="00EF7FE3" w:rsidRPr="00DC6DB3" w:rsidRDefault="00EF7FE3" w:rsidP="00DC6DB3">
      <w:pPr>
        <w:pStyle w:val="ListParagraph"/>
        <w:numPr>
          <w:ilvl w:val="1"/>
          <w:numId w:val="3"/>
        </w:numPr>
        <w:bidi/>
        <w:spacing w:before="80" w:after="80"/>
        <w:contextualSpacing w:val="0"/>
        <w:rPr>
          <w:rFonts w:ascii="Calibri" w:eastAsia="Tw Cen MT" w:hAnsi="Calibri" w:cs="Calibri"/>
          <w:sz w:val="20"/>
          <w:szCs w:val="20"/>
          <w:rtl/>
        </w:rPr>
      </w:pPr>
      <w:r>
        <w:rPr>
          <w:rFonts w:ascii="Calibri" w:hAnsi="Calibri" w:hint="cs"/>
          <w:sz w:val="20"/>
          <w:rtl/>
        </w:rPr>
        <w:t>حق الزيارة.</w:t>
      </w:r>
    </w:p>
    <w:p w14:paraId="22EEE45E" w14:textId="77777777" w:rsidR="00DC6DB3" w:rsidRDefault="00DC6DB3" w:rsidP="00DC6DB3">
      <w:pPr>
        <w:spacing w:before="80" w:after="80"/>
        <w:rPr>
          <w:rFonts w:ascii="Calibri" w:eastAsia="Tw Cen MT" w:hAnsi="Calibri" w:cs="Calibri"/>
          <w:b/>
          <w:bCs/>
          <w:sz w:val="20"/>
          <w:szCs w:val="20"/>
        </w:rPr>
      </w:pPr>
    </w:p>
    <w:p w14:paraId="528E7702" w14:textId="5AC293C8" w:rsidR="00EF7FE3" w:rsidRPr="00DC6DB3" w:rsidRDefault="00EF7FE3" w:rsidP="00DC6DB3">
      <w:pPr>
        <w:bidi/>
        <w:spacing w:before="80" w:after="80"/>
        <w:rPr>
          <w:rFonts w:ascii="Calibri" w:hAnsi="Calibri" w:cs="Calibri"/>
          <w:color w:val="0070C0"/>
          <w:sz w:val="20"/>
          <w:szCs w:val="20"/>
          <w:rtl/>
        </w:rPr>
      </w:pPr>
      <w:r>
        <w:rPr>
          <w:rFonts w:ascii="Calibri" w:hAnsi="Calibri" w:hint="cs"/>
          <w:b/>
          <w:color w:val="0070C0"/>
          <w:sz w:val="20"/>
          <w:rtl/>
        </w:rPr>
        <w:t>احتياجات التنمية والهوية</w:t>
      </w:r>
    </w:p>
    <w:p w14:paraId="2D32331B" w14:textId="65F19873" w:rsidR="00EF7FE3" w:rsidRPr="00DC6DB3" w:rsidRDefault="00EF7FE3" w:rsidP="00DC6DB3">
      <w:pPr>
        <w:pStyle w:val="ListParagraph"/>
        <w:numPr>
          <w:ilvl w:val="0"/>
          <w:numId w:val="3"/>
        </w:numPr>
        <w:bidi/>
        <w:spacing w:before="80" w:after="80"/>
        <w:ind w:left="360"/>
        <w:contextualSpacing w:val="0"/>
        <w:rPr>
          <w:rFonts w:ascii="Calibri" w:hAnsi="Calibri" w:cs="Calibri"/>
          <w:sz w:val="20"/>
          <w:szCs w:val="20"/>
          <w:rtl/>
        </w:rPr>
      </w:pPr>
      <w:r>
        <w:rPr>
          <w:rFonts w:ascii="Calibri" w:hAnsi="Calibri" w:hint="cs"/>
          <w:sz w:val="20"/>
          <w:rtl/>
        </w:rPr>
        <w:t>شبكة الطفل الثقافية والمجتمعية؛</w:t>
      </w:r>
    </w:p>
    <w:p w14:paraId="79DF59EA" w14:textId="77777777" w:rsidR="00B27CF0" w:rsidRPr="00DC6DB3" w:rsidRDefault="00EF7FE3" w:rsidP="00DC6DB3">
      <w:pPr>
        <w:pStyle w:val="ListParagraph"/>
        <w:numPr>
          <w:ilvl w:val="0"/>
          <w:numId w:val="3"/>
        </w:numPr>
        <w:bidi/>
        <w:spacing w:before="80" w:after="80"/>
        <w:ind w:left="360"/>
        <w:contextualSpacing w:val="0"/>
        <w:rPr>
          <w:rFonts w:ascii="Calibri" w:hAnsi="Calibri" w:cs="Calibri"/>
          <w:sz w:val="20"/>
          <w:szCs w:val="20"/>
          <w:rtl/>
        </w:rPr>
      </w:pPr>
      <w:r>
        <w:rPr>
          <w:rFonts w:ascii="Calibri" w:hAnsi="Calibri" w:hint="cs"/>
          <w:sz w:val="20"/>
          <w:rtl/>
        </w:rPr>
        <w:t>الاستمرارية في الخلفية العرقية والدينية والثقافية واللغوية للطفل؛</w:t>
      </w:r>
    </w:p>
    <w:p w14:paraId="08894E50" w14:textId="77777777" w:rsidR="00B27CF0" w:rsidRPr="00DC6DB3" w:rsidRDefault="00EF7FE3" w:rsidP="00DC6DB3">
      <w:pPr>
        <w:pStyle w:val="ListParagraph"/>
        <w:numPr>
          <w:ilvl w:val="0"/>
          <w:numId w:val="3"/>
        </w:numPr>
        <w:bidi/>
        <w:spacing w:before="80" w:after="80"/>
        <w:ind w:left="360"/>
        <w:contextualSpacing w:val="0"/>
        <w:rPr>
          <w:rFonts w:ascii="Calibri" w:hAnsi="Calibri" w:cs="Calibri"/>
          <w:sz w:val="20"/>
          <w:szCs w:val="20"/>
          <w:rtl/>
        </w:rPr>
      </w:pPr>
      <w:r>
        <w:rPr>
          <w:rFonts w:ascii="Calibri" w:hAnsi="Calibri" w:hint="cs"/>
          <w:sz w:val="20"/>
          <w:rtl/>
        </w:rPr>
        <w:t>الاعتبارات المحددة بناءً على العمر ونوع الجنس والقدرات والسمات الأخرى للطفل؛</w:t>
      </w:r>
    </w:p>
    <w:p w14:paraId="168E008C" w14:textId="77777777" w:rsidR="00B27CF0" w:rsidRPr="00DC6DB3" w:rsidRDefault="00EF7FE3" w:rsidP="00DC6DB3">
      <w:pPr>
        <w:pStyle w:val="ListParagraph"/>
        <w:numPr>
          <w:ilvl w:val="0"/>
          <w:numId w:val="3"/>
        </w:numPr>
        <w:bidi/>
        <w:spacing w:before="80" w:after="80"/>
        <w:ind w:left="360"/>
        <w:contextualSpacing w:val="0"/>
        <w:rPr>
          <w:rFonts w:ascii="Calibri" w:hAnsi="Calibri" w:cs="Calibri"/>
          <w:sz w:val="20"/>
          <w:szCs w:val="20"/>
          <w:rtl/>
        </w:rPr>
      </w:pPr>
      <w:r>
        <w:rPr>
          <w:rFonts w:ascii="Calibri" w:hAnsi="Calibri" w:hint="cs"/>
          <w:sz w:val="20"/>
          <w:rtl/>
        </w:rPr>
        <w:t>الاحتياجات البدنية أو العاطفية الخاصة؛</w:t>
      </w:r>
    </w:p>
    <w:p w14:paraId="60B7B826" w14:textId="77777777" w:rsidR="00B27CF0" w:rsidRPr="00DC6DB3" w:rsidRDefault="00EF7FE3" w:rsidP="00DC6DB3">
      <w:pPr>
        <w:pStyle w:val="ListParagraph"/>
        <w:numPr>
          <w:ilvl w:val="0"/>
          <w:numId w:val="3"/>
        </w:numPr>
        <w:bidi/>
        <w:spacing w:before="80" w:after="80"/>
        <w:ind w:left="360"/>
        <w:contextualSpacing w:val="0"/>
        <w:rPr>
          <w:rFonts w:ascii="Calibri" w:hAnsi="Calibri" w:cs="Calibri"/>
          <w:sz w:val="20"/>
          <w:szCs w:val="20"/>
          <w:rtl/>
        </w:rPr>
      </w:pPr>
      <w:r>
        <w:rPr>
          <w:rFonts w:ascii="Calibri" w:hAnsi="Calibri" w:hint="cs"/>
          <w:sz w:val="20"/>
          <w:rtl/>
        </w:rPr>
        <w:t xml:space="preserve"> اعتبارات الصحة البدنية والعقلية؛</w:t>
      </w:r>
    </w:p>
    <w:p w14:paraId="0FF41C14" w14:textId="6A35F4BA" w:rsidR="00EF7FE3" w:rsidRPr="00DC6DB3" w:rsidRDefault="00EF7FE3" w:rsidP="00DC6DB3">
      <w:pPr>
        <w:pStyle w:val="ListParagraph"/>
        <w:numPr>
          <w:ilvl w:val="0"/>
          <w:numId w:val="3"/>
        </w:numPr>
        <w:bidi/>
        <w:spacing w:before="80" w:after="80"/>
        <w:ind w:left="360"/>
        <w:contextualSpacing w:val="0"/>
        <w:rPr>
          <w:rFonts w:ascii="Calibri" w:hAnsi="Calibri" w:cs="Calibri"/>
          <w:sz w:val="20"/>
          <w:szCs w:val="20"/>
          <w:rtl/>
        </w:rPr>
      </w:pPr>
      <w:r>
        <w:rPr>
          <w:rFonts w:ascii="Calibri" w:hAnsi="Calibri" w:hint="cs"/>
          <w:sz w:val="20"/>
          <w:rtl/>
        </w:rPr>
        <w:t xml:space="preserve"> الاحتياجات التعليمية؛</w:t>
      </w:r>
    </w:p>
    <w:p w14:paraId="22E5DDD9" w14:textId="77777777" w:rsidR="00EF7FE3" w:rsidRPr="00DC6DB3" w:rsidRDefault="00EF7FE3" w:rsidP="00DC6DB3">
      <w:pPr>
        <w:pStyle w:val="ListParagraph"/>
        <w:numPr>
          <w:ilvl w:val="0"/>
          <w:numId w:val="3"/>
        </w:numPr>
        <w:bidi/>
        <w:spacing w:before="80" w:after="80"/>
        <w:ind w:left="360"/>
        <w:contextualSpacing w:val="0"/>
        <w:rPr>
          <w:rFonts w:ascii="Calibri" w:hAnsi="Calibri" w:cs="Calibri"/>
          <w:sz w:val="20"/>
          <w:szCs w:val="20"/>
          <w:rtl/>
        </w:rPr>
      </w:pPr>
      <w:r>
        <w:rPr>
          <w:rFonts w:ascii="Calibri" w:hAnsi="Calibri" w:hint="cs"/>
          <w:sz w:val="20"/>
          <w:rtl/>
        </w:rPr>
        <w:t>آفاق الانتقال الناجح إلى مرحلة البلوغ (التوظيف، والزواج، وإقامة أسرة خاصة).</w:t>
      </w:r>
    </w:p>
    <w:p w14:paraId="677C8940" w14:textId="77777777" w:rsidR="00EF7FE3" w:rsidRPr="00DC6DB3" w:rsidRDefault="00EF7FE3" w:rsidP="00EF7FE3">
      <w:pPr>
        <w:spacing w:line="200" w:lineRule="exact"/>
        <w:rPr>
          <w:rFonts w:ascii="Calibri" w:hAnsi="Calibri" w:cs="Calibri"/>
          <w:sz w:val="20"/>
          <w:szCs w:val="20"/>
        </w:rPr>
      </w:pPr>
    </w:p>
    <w:sectPr w:rsidR="00EF7FE3" w:rsidRPr="00DC6DB3" w:rsidSect="00DC6DB3">
      <w:headerReference w:type="default" r:id="rId10"/>
      <w:type w:val="continuous"/>
      <w:pgSz w:w="11900" w:h="16820"/>
      <w:pgMar w:top="992" w:right="1134" w:bottom="992" w:left="1134"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AEC6" w14:textId="77777777" w:rsidR="00E319F8" w:rsidRDefault="00E319F8" w:rsidP="00DC6DB3">
      <w:r>
        <w:separator/>
      </w:r>
    </w:p>
  </w:endnote>
  <w:endnote w:type="continuationSeparator" w:id="0">
    <w:p w14:paraId="2F2E1351" w14:textId="77777777" w:rsidR="00E319F8" w:rsidRDefault="00E319F8" w:rsidP="00DC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BE90" w14:textId="77777777" w:rsidR="00E319F8" w:rsidRDefault="00E319F8" w:rsidP="00DC6DB3">
      <w:r>
        <w:separator/>
      </w:r>
    </w:p>
  </w:footnote>
  <w:footnote w:type="continuationSeparator" w:id="0">
    <w:p w14:paraId="1E9F5D08" w14:textId="77777777" w:rsidR="00E319F8" w:rsidRDefault="00E319F8" w:rsidP="00DC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B14E" w14:textId="46A5007E" w:rsidR="00DC6DB3" w:rsidRDefault="00C037AA" w:rsidP="00DC6DB3">
    <w:pPr>
      <w:pStyle w:val="Header"/>
      <w:bidi/>
      <w:jc w:val="right"/>
      <w:rPr>
        <w:rtl/>
      </w:rPr>
    </w:pPr>
    <w:r>
      <w:rPr>
        <w:noProof/>
        <w:rtl/>
        <w:lang w:val="ar-EG"/>
      </w:rPr>
      <w:drawing>
        <wp:inline distT="0" distB="0" distL="0" distR="0" wp14:anchorId="6CBD5709" wp14:editId="36C0D7ED">
          <wp:extent cx="2722099" cy="641525"/>
          <wp:effectExtent l="0" t="0" r="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2972" cy="648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5D1B"/>
    <w:multiLevelType w:val="hybridMultilevel"/>
    <w:tmpl w:val="B0563E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A3148"/>
    <w:multiLevelType w:val="hybridMultilevel"/>
    <w:tmpl w:val="C35AF91E"/>
    <w:lvl w:ilvl="0" w:tplc="86805B76">
      <w:start w:val="3"/>
      <w:numFmt w:val="lowerLetter"/>
      <w:lvlText w:val="%1)"/>
      <w:lvlJc w:val="left"/>
    </w:lvl>
    <w:lvl w:ilvl="1" w:tplc="15B0819A">
      <w:start w:val="1"/>
      <w:numFmt w:val="bullet"/>
      <w:lvlText w:val="  "/>
      <w:lvlJc w:val="left"/>
    </w:lvl>
    <w:lvl w:ilvl="2" w:tplc="6D386428">
      <w:numFmt w:val="decimal"/>
      <w:lvlText w:val=""/>
      <w:lvlJc w:val="left"/>
    </w:lvl>
    <w:lvl w:ilvl="3" w:tplc="C254921C">
      <w:numFmt w:val="decimal"/>
      <w:lvlText w:val=""/>
      <w:lvlJc w:val="left"/>
    </w:lvl>
    <w:lvl w:ilvl="4" w:tplc="D716EDD0">
      <w:numFmt w:val="decimal"/>
      <w:lvlText w:val=""/>
      <w:lvlJc w:val="left"/>
    </w:lvl>
    <w:lvl w:ilvl="5" w:tplc="D510642A">
      <w:numFmt w:val="decimal"/>
      <w:lvlText w:val=""/>
      <w:lvlJc w:val="left"/>
    </w:lvl>
    <w:lvl w:ilvl="6" w:tplc="25CEC33C">
      <w:numFmt w:val="decimal"/>
      <w:lvlText w:val=""/>
      <w:lvlJc w:val="left"/>
    </w:lvl>
    <w:lvl w:ilvl="7" w:tplc="5A4EF1FA">
      <w:numFmt w:val="decimal"/>
      <w:lvlText w:val=""/>
      <w:lvlJc w:val="left"/>
    </w:lvl>
    <w:lvl w:ilvl="8" w:tplc="BCE2C2BC">
      <w:numFmt w:val="decimal"/>
      <w:lvlText w:val=""/>
      <w:lvlJc w:val="left"/>
    </w:lvl>
  </w:abstractNum>
  <w:abstractNum w:abstractNumId="2" w15:restartNumberingAfterBreak="0">
    <w:nsid w:val="115177AC"/>
    <w:multiLevelType w:val="hybridMultilevel"/>
    <w:tmpl w:val="952A0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D2EE6"/>
    <w:multiLevelType w:val="hybridMultilevel"/>
    <w:tmpl w:val="642C5FB6"/>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4" w15:restartNumberingAfterBreak="0">
    <w:nsid w:val="5D18343D"/>
    <w:multiLevelType w:val="hybridMultilevel"/>
    <w:tmpl w:val="B00C3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E7FD0"/>
    <w:multiLevelType w:val="hybridMultilevel"/>
    <w:tmpl w:val="6B783118"/>
    <w:lvl w:ilvl="0" w:tplc="C2085060">
      <w:start w:val="2"/>
      <w:numFmt w:val="lowerLetter"/>
      <w:lvlText w:val="%1)"/>
      <w:lvlJc w:val="left"/>
    </w:lvl>
    <w:lvl w:ilvl="1" w:tplc="E7122A86">
      <w:start w:val="1"/>
      <w:numFmt w:val="bullet"/>
      <w:lvlText w:val="  "/>
      <w:lvlJc w:val="left"/>
    </w:lvl>
    <w:lvl w:ilvl="2" w:tplc="C24A394E">
      <w:numFmt w:val="decimal"/>
      <w:lvlText w:val=""/>
      <w:lvlJc w:val="left"/>
    </w:lvl>
    <w:lvl w:ilvl="3" w:tplc="D1124BEC">
      <w:numFmt w:val="decimal"/>
      <w:lvlText w:val=""/>
      <w:lvlJc w:val="left"/>
    </w:lvl>
    <w:lvl w:ilvl="4" w:tplc="0BEEE9DE">
      <w:numFmt w:val="decimal"/>
      <w:lvlText w:val=""/>
      <w:lvlJc w:val="left"/>
    </w:lvl>
    <w:lvl w:ilvl="5" w:tplc="8408A198">
      <w:numFmt w:val="decimal"/>
      <w:lvlText w:val=""/>
      <w:lvlJc w:val="left"/>
    </w:lvl>
    <w:lvl w:ilvl="6" w:tplc="E91EC222">
      <w:numFmt w:val="decimal"/>
      <w:lvlText w:val=""/>
      <w:lvlJc w:val="left"/>
    </w:lvl>
    <w:lvl w:ilvl="7" w:tplc="41A4945A">
      <w:numFmt w:val="decimal"/>
      <w:lvlText w:val=""/>
      <w:lvlJc w:val="left"/>
    </w:lvl>
    <w:lvl w:ilvl="8" w:tplc="BF5E1D76">
      <w:numFmt w:val="decimal"/>
      <w:lvlText w:val=""/>
      <w:lvlJc w:val="left"/>
    </w:lvl>
  </w:abstractNum>
  <w:abstractNum w:abstractNumId="6" w15:restartNumberingAfterBreak="0">
    <w:nsid w:val="6B1B4472"/>
    <w:multiLevelType w:val="hybridMultilevel"/>
    <w:tmpl w:val="8714A7D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2086220611">
    <w:abstractNumId w:val="5"/>
  </w:num>
  <w:num w:numId="2" w16cid:durableId="1090008970">
    <w:abstractNumId w:val="1"/>
  </w:num>
  <w:num w:numId="3" w16cid:durableId="2086798988">
    <w:abstractNumId w:val="6"/>
  </w:num>
  <w:num w:numId="4" w16cid:durableId="1128278843">
    <w:abstractNumId w:val="3"/>
  </w:num>
  <w:num w:numId="5" w16cid:durableId="1040321408">
    <w:abstractNumId w:val="4"/>
  </w:num>
  <w:num w:numId="6" w16cid:durableId="344790230">
    <w:abstractNumId w:val="2"/>
  </w:num>
  <w:num w:numId="7" w16cid:durableId="126040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E3"/>
    <w:rsid w:val="0008092A"/>
    <w:rsid w:val="00094475"/>
    <w:rsid w:val="002E1B73"/>
    <w:rsid w:val="003C51B7"/>
    <w:rsid w:val="005E176D"/>
    <w:rsid w:val="006172A4"/>
    <w:rsid w:val="00667C26"/>
    <w:rsid w:val="00B27CF0"/>
    <w:rsid w:val="00C037AA"/>
    <w:rsid w:val="00CF68DE"/>
    <w:rsid w:val="00DC6DB3"/>
    <w:rsid w:val="00E319F8"/>
    <w:rsid w:val="00EC425B"/>
    <w:rsid w:val="00EF7FE3"/>
  </w:rsids>
  <m:mathPr>
    <m:mathFont m:val="Cambria Math"/>
    <m:brkBin m:val="before"/>
    <m:brkBinSub m:val="--"/>
    <m:smallFrac m:val="0"/>
    <m:dispDef/>
    <m:lMargin m:val="0"/>
    <m:rMargin m:val="0"/>
    <m:defJc m:val="centerGroup"/>
    <m:wrapIndent m:val="1440"/>
    <m:intLim m:val="subSup"/>
    <m:naryLim m:val="undOvr"/>
  </m:mathPr>
  <w:themeFontLang w:val="en-GB" w:eastAsia="ko-KR"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63F50"/>
  <w15:chartTrackingRefBased/>
  <w15:docId w15:val="{ECCE3CDD-AEEF-471F-9779-95B2CA0E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E3"/>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8DE"/>
    <w:pPr>
      <w:ind w:left="720"/>
      <w:contextualSpacing/>
    </w:pPr>
  </w:style>
  <w:style w:type="paragraph" w:styleId="Header">
    <w:name w:val="header"/>
    <w:basedOn w:val="Normal"/>
    <w:link w:val="HeaderChar"/>
    <w:uiPriority w:val="99"/>
    <w:unhideWhenUsed/>
    <w:rsid w:val="00DC6DB3"/>
    <w:pPr>
      <w:tabs>
        <w:tab w:val="center" w:pos="4680"/>
        <w:tab w:val="right" w:pos="9360"/>
      </w:tabs>
    </w:pPr>
  </w:style>
  <w:style w:type="character" w:customStyle="1" w:styleId="HeaderChar">
    <w:name w:val="Header Char"/>
    <w:basedOn w:val="DefaultParagraphFont"/>
    <w:link w:val="Header"/>
    <w:uiPriority w:val="99"/>
    <w:rsid w:val="00DC6DB3"/>
    <w:rPr>
      <w:rFonts w:ascii="Times New Roman" w:eastAsiaTheme="minorEastAsia" w:hAnsi="Times New Roman" w:cs="Times New Roman"/>
      <w:lang w:eastAsia="en-GB"/>
    </w:rPr>
  </w:style>
  <w:style w:type="paragraph" w:styleId="Footer">
    <w:name w:val="footer"/>
    <w:basedOn w:val="Normal"/>
    <w:link w:val="FooterChar"/>
    <w:uiPriority w:val="99"/>
    <w:unhideWhenUsed/>
    <w:rsid w:val="00DC6DB3"/>
    <w:pPr>
      <w:tabs>
        <w:tab w:val="center" w:pos="4680"/>
        <w:tab w:val="right" w:pos="9360"/>
      </w:tabs>
    </w:pPr>
  </w:style>
  <w:style w:type="character" w:customStyle="1" w:styleId="FooterChar">
    <w:name w:val="Footer Char"/>
    <w:basedOn w:val="DefaultParagraphFont"/>
    <w:link w:val="Footer"/>
    <w:uiPriority w:val="99"/>
    <w:rsid w:val="00DC6DB3"/>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FFC6744BB76641889DAC200C8BA6B7" ma:contentTypeVersion="11" ma:contentTypeDescription="Create a new document." ma:contentTypeScope="" ma:versionID="b44a2521a807ed22e1eede32430be6f8">
  <xsd:schema xmlns:xsd="http://www.w3.org/2001/XMLSchema" xmlns:xs="http://www.w3.org/2001/XMLSchema" xmlns:p="http://schemas.microsoft.com/office/2006/metadata/properties" xmlns:ns2="fbe28404-6131-4e00-b7a6-31338f680e2e" xmlns:ns3="a59a2e65-d1d3-48dd-bf39-eb1d2978cf45" targetNamespace="http://schemas.microsoft.com/office/2006/metadata/properties" ma:root="true" ma:fieldsID="6105b409f4abd82e71ad06cb47debcd6" ns2:_="" ns3:_="">
    <xsd:import namespace="fbe28404-6131-4e00-b7a6-31338f680e2e"/>
    <xsd:import namespace="a59a2e65-d1d3-48dd-bf39-eb1d2978c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8404-6131-4e00-b7a6-31338f68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a2e65-d1d3-48dd-bf39-eb1d2978c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FAC53-183B-4BC8-80A7-713ED880F0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5D0A95-7B5B-4E84-AEFA-2417A7CA2F09}">
  <ds:schemaRefs>
    <ds:schemaRef ds:uri="http://schemas.microsoft.com/sharepoint/v3/contenttype/forms"/>
  </ds:schemaRefs>
</ds:datastoreItem>
</file>

<file path=customXml/itemProps3.xml><?xml version="1.0" encoding="utf-8"?>
<ds:datastoreItem xmlns:ds="http://schemas.openxmlformats.org/officeDocument/2006/customXml" ds:itemID="{0DE224C1-C323-4EEA-80CD-71B7D86DC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28404-6131-4e00-b7a6-31338f680e2e"/>
    <ds:schemaRef ds:uri="a59a2e65-d1d3-48dd-bf39-eb1d2978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2401</Characters>
  <Application>Microsoft Office Word</Application>
  <DocSecurity>0</DocSecurity>
  <Lines>104</Lines>
  <Paragraphs>93</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Lola Zhou</dc:creator>
  <cp:keywords/>
  <dc:description/>
  <cp:lastModifiedBy>Anais Gancel</cp:lastModifiedBy>
  <cp:revision>2</cp:revision>
  <dcterms:created xsi:type="dcterms:W3CDTF">2023-05-25T14:57:00Z</dcterms:created>
  <dcterms:modified xsi:type="dcterms:W3CDTF">2023-05-25T14:57:00Z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0x010100CBFFC6744BB76641889DAC200C8BA6B7</vt:lpwstr>
  </property>
</Properties>
</file>