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3485" w14:textId="0183D303" w:rsidR="009416F3" w:rsidRPr="00CE34E6" w:rsidRDefault="00CE34E6" w:rsidP="00B607EA">
      <w:pPr>
        <w:bidi/>
        <w:spacing w:before="240"/>
        <w:jc w:val="center"/>
        <w:rPr>
          <w:rFonts w:ascii="Calibri" w:hAnsi="Calibri" w:cs="Calibri"/>
          <w:color w:val="0070C0"/>
          <w:sz w:val="28"/>
          <w:szCs w:val="28"/>
          <w:rtl/>
        </w:rPr>
      </w:pPr>
      <w:r>
        <w:rPr>
          <w:rFonts w:ascii="Calibri" w:hAnsi="Calibri" w:hint="cs"/>
          <w:b/>
          <w:color w:val="0070C0"/>
          <w:sz w:val="28"/>
          <w:rtl/>
        </w:rPr>
        <w:t xml:space="preserve">إجراء المصالح الفضلى </w:t>
      </w:r>
      <w:r w:rsidR="002A463F">
        <w:rPr>
          <w:rFonts w:ascii="Calibri" w:hAnsi="Calibri"/>
          <w:b/>
          <w:color w:val="0070C0"/>
          <w:sz w:val="28"/>
          <w:rtl/>
        </w:rPr>
        <w:t>–</w:t>
      </w:r>
      <w:r>
        <w:rPr>
          <w:rFonts w:ascii="Calibri" w:hAnsi="Calibri" w:hint="cs"/>
          <w:b/>
          <w:color w:val="0070C0"/>
          <w:sz w:val="28"/>
          <w:rtl/>
        </w:rPr>
        <w:t xml:space="preserve"> قائمة</w:t>
      </w:r>
      <w:r w:rsidR="002A463F">
        <w:rPr>
          <w:rFonts w:ascii="Calibri" w:hAnsi="Calibri" w:hint="cs"/>
          <w:b/>
          <w:color w:val="0070C0"/>
          <w:sz w:val="28"/>
          <w:rtl/>
        </w:rPr>
        <w:t xml:space="preserve"> التدقيق</w:t>
      </w:r>
      <w:r>
        <w:rPr>
          <w:rFonts w:ascii="Calibri" w:hAnsi="Calibri" w:hint="cs"/>
          <w:b/>
          <w:color w:val="0070C0"/>
          <w:sz w:val="28"/>
          <w:rtl/>
        </w:rPr>
        <w:t xml:space="preserve"> المرجعية لمشرف تحديد المصالح الفضلى</w:t>
      </w:r>
    </w:p>
    <w:p w14:paraId="2143B8F8" w14:textId="77777777" w:rsidR="009416F3" w:rsidRPr="00CE34E6" w:rsidRDefault="009416F3" w:rsidP="00CE34E6">
      <w:pPr>
        <w:spacing w:before="80"/>
        <w:rPr>
          <w:rFonts w:ascii="Calibri" w:hAnsi="Calibri" w:cs="Calibri"/>
          <w:sz w:val="20"/>
          <w:szCs w:val="20"/>
        </w:rPr>
      </w:pPr>
    </w:p>
    <w:p w14:paraId="4CF0FB95" w14:textId="45D0888F" w:rsidR="009416F3" w:rsidRPr="00CE34E6" w:rsidRDefault="009416F3" w:rsidP="00CE34E6">
      <w:pPr>
        <w:bidi/>
        <w:spacing w:before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إعداد / تعزيز عملية تحديد المصالح الفضلى</w:t>
      </w:r>
    </w:p>
    <w:p w14:paraId="4947CF74" w14:textId="628CE80E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إنشاء </w:t>
      </w:r>
      <w:r w:rsidR="00E04902">
        <w:rPr>
          <w:rFonts w:ascii="Calibri" w:hAnsi="Calibri" w:hint="cs"/>
          <w:sz w:val="20"/>
          <w:rtl/>
        </w:rPr>
        <w:t>لجنة</w:t>
      </w:r>
      <w:r>
        <w:rPr>
          <w:rFonts w:ascii="Calibri" w:hAnsi="Calibri" w:hint="cs"/>
          <w:sz w:val="20"/>
          <w:rtl/>
        </w:rPr>
        <w:t xml:space="preserve"> تحديد المصالح الفضلى متعدد الوظائف</w:t>
      </w:r>
    </w:p>
    <w:p w14:paraId="62EE6709" w14:textId="77777777" w:rsidR="00EE4998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صياغة جميع الإجراءات التشغيلية القياسية ذات الصلة أو تعديلها أو تحديثها؛</w:t>
      </w:r>
    </w:p>
    <w:p w14:paraId="6EF3B290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تقديم التدريب اللازم إلى فريق تحديد المصالح الفضلى على:</w:t>
      </w:r>
    </w:p>
    <w:p w14:paraId="715AD69B" w14:textId="77777777" w:rsidR="00E04902" w:rsidRDefault="00E04902" w:rsidP="00E04902">
      <w:pPr>
        <w:pStyle w:val="CommentText"/>
        <w:numPr>
          <w:ilvl w:val="0"/>
          <w:numId w:val="3"/>
        </w:numPr>
      </w:pPr>
      <w:r>
        <w:rPr>
          <w:rFonts w:hint="cs"/>
          <w:rtl/>
        </w:rPr>
        <w:t>الإرشادات</w:t>
      </w:r>
    </w:p>
    <w:p w14:paraId="1616268A" w14:textId="0ED736B7" w:rsidR="00EE4998" w:rsidRPr="00CE34E6" w:rsidRDefault="009416F3" w:rsidP="00CE34E6">
      <w:pPr>
        <w:pStyle w:val="ListParagraph"/>
        <w:numPr>
          <w:ilvl w:val="1"/>
          <w:numId w:val="3"/>
        </w:numPr>
        <w:bidi/>
        <w:spacing w:before="80"/>
        <w:contextualSpacing w:val="0"/>
        <w:jc w:val="both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لإجراء المصالح الفضلى</w:t>
      </w:r>
    </w:p>
    <w:p w14:paraId="6AD14915" w14:textId="77777777" w:rsidR="009416F3" w:rsidRPr="00CE34E6" w:rsidRDefault="009416F3" w:rsidP="00CE34E6">
      <w:pPr>
        <w:pStyle w:val="ListParagraph"/>
        <w:numPr>
          <w:ilvl w:val="1"/>
          <w:numId w:val="3"/>
        </w:numPr>
        <w:bidi/>
        <w:spacing w:before="80"/>
        <w:contextualSpacing w:val="0"/>
        <w:jc w:val="both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جمع البيانات</w:t>
      </w:r>
    </w:p>
    <w:p w14:paraId="79ED995F" w14:textId="77777777" w:rsidR="00EE4998" w:rsidRPr="00CE34E6" w:rsidRDefault="009416F3" w:rsidP="00CE34E6">
      <w:pPr>
        <w:pStyle w:val="ListParagraph"/>
        <w:numPr>
          <w:ilvl w:val="1"/>
          <w:numId w:val="3"/>
        </w:numPr>
        <w:bidi/>
        <w:spacing w:before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كيفية إجراء مقابلة شخصية مع الأطفال</w:t>
      </w:r>
    </w:p>
    <w:p w14:paraId="2B21BD56" w14:textId="77777777" w:rsidR="009416F3" w:rsidRPr="00CE34E6" w:rsidRDefault="009416F3" w:rsidP="00CE34E6">
      <w:pPr>
        <w:pStyle w:val="ListParagraph"/>
        <w:numPr>
          <w:ilvl w:val="1"/>
          <w:numId w:val="3"/>
        </w:numPr>
        <w:bidi/>
        <w:spacing w:before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أساليب الكتابة؛</w:t>
      </w:r>
    </w:p>
    <w:p w14:paraId="48694E67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التأكد من توقيع جميع أعضاء فريق تحديد المصالح الفضلى على مدونة قواعد السلوك وتعهد السرية؛</w:t>
      </w:r>
    </w:p>
    <w:p w14:paraId="0AF1AE2C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تحديد السلطات الوطنية أو المحلية المختصة، وإطلاعها بانتظام على عملية إجراء المصالح الفضلى وإشراكها في العملية، إن أمكن؛</w:t>
      </w:r>
    </w:p>
    <w:p w14:paraId="74B37EE9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التشاور مع جميع المنظمات غير الحكومية التي تعمل في مجال حماية الطفل أو قضايا رعاية الطفل من أجل تحديد الأدوار والمسؤوليات في عملية إجراء المصالح الفضلى؛</w:t>
      </w:r>
    </w:p>
    <w:p w14:paraId="2518A1F0" w14:textId="77777777" w:rsidR="00EE4998" w:rsidRPr="00CE34E6" w:rsidRDefault="009416F3" w:rsidP="00CE34E6">
      <w:pPr>
        <w:pStyle w:val="ListParagraph"/>
        <w:numPr>
          <w:ilvl w:val="1"/>
          <w:numId w:val="3"/>
        </w:numPr>
        <w:bidi/>
        <w:spacing w:before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تحديد كيفية إعلام المجتمع بعملية تحديد المصالح الفضلى والغرض منها؛</w:t>
      </w:r>
    </w:p>
    <w:p w14:paraId="3D09403D" w14:textId="77777777" w:rsidR="009416F3" w:rsidRPr="00CE34E6" w:rsidRDefault="009416F3" w:rsidP="00CE34E6">
      <w:pPr>
        <w:pStyle w:val="ListParagraph"/>
        <w:numPr>
          <w:ilvl w:val="1"/>
          <w:numId w:val="3"/>
        </w:numPr>
        <w:bidi/>
        <w:spacing w:before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تحديد كيفية ترتيب أولويات الحالات.</w:t>
      </w:r>
    </w:p>
    <w:p w14:paraId="0F7399AB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113C946E" w14:textId="20BE7663" w:rsidR="009416F3" w:rsidRPr="00CE34E6" w:rsidRDefault="009416F3" w:rsidP="00CE34E6">
      <w:pPr>
        <w:bidi/>
        <w:spacing w:before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مراجعة نموذج تقرير تحديد المصالح الفضلى (إذا كان ذا صلة)</w:t>
      </w:r>
    </w:p>
    <w:p w14:paraId="5C170784" w14:textId="77777777" w:rsidR="00EE4998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تحقق مما إذا كان قد تم ذكر البيانات الحيوية للطفل في نموذج تقرير تحديد المصالح الفضلى بشكلٍ صحيح؛</w:t>
      </w:r>
    </w:p>
    <w:p w14:paraId="7A883EB2" w14:textId="77777777" w:rsidR="009416F3" w:rsidRPr="00CE34E6" w:rsidRDefault="00EE4998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تحقق مما إذا كان قد تم الإبلاغ بوضوح عن سجل الانفصال / الهروب، أو تقييم سوء المعاملة أو الإهمال؛</w:t>
      </w:r>
    </w:p>
    <w:p w14:paraId="57DA3A82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تحقق من أن جميع الوثائق المستخدمة في صياغة التوصيات متاحة ومرفقة بنموذج تقرير تحديد المصالح الفضلى؛</w:t>
      </w:r>
    </w:p>
    <w:p w14:paraId="6A037334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في حالة إعادة التوطين من أجل لمّ شمل الأسرة، تأكد من أنه قد تم التواصل مع الوالدين/الأقارب وإجراء مقابلة شخصية معهم؛</w:t>
      </w:r>
    </w:p>
    <w:p w14:paraId="216773E6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راجع ما إذا كانت التوصيات المقترحة متسقة مع المبادئ التوجيهية لإجراء المصالح الفضلى.</w:t>
      </w:r>
    </w:p>
    <w:p w14:paraId="49844441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661147C7" w14:textId="31F61B5B" w:rsidR="009416F3" w:rsidRPr="00CE34E6" w:rsidRDefault="009416F3" w:rsidP="00CE34E6">
      <w:pPr>
        <w:bidi/>
        <w:spacing w:before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التنسيق مع فريق تحديد المصالح الفضلى</w:t>
      </w:r>
    </w:p>
    <w:p w14:paraId="44DC81EE" w14:textId="3F1BF478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أرسل نماذج تقرير تحديد المصالح الفضلى مع الوثائق ذات الصلة إلى الفريق مع إشعار مسبق مناسب؛</w:t>
      </w:r>
    </w:p>
    <w:p w14:paraId="5A714E58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قم بدور النقطة المرجعية للفريق في حال كانت هناك حاجة إلى مزيد من المعلومات أو التوضيحات بشأن حالات تحديد المصالح الفضلى؛</w:t>
      </w:r>
    </w:p>
    <w:p w14:paraId="47D7595D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تسلَّم القرارات من الفريق واحرص على مراقبة تنفيذ القرار وأي تدابير متابعة؛</w:t>
      </w:r>
    </w:p>
    <w:p w14:paraId="2B8C24FF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تأكد من إبلاغ الطفل ووالديه أو مقدم الرعاية بالقرار في الوقت المناسب.</w:t>
      </w:r>
    </w:p>
    <w:p w14:paraId="3BD5B610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1035E135" w14:textId="1F5931BC" w:rsidR="009416F3" w:rsidRPr="00CE34E6" w:rsidRDefault="009416F3" w:rsidP="00CE34E6">
      <w:pPr>
        <w:bidi/>
        <w:spacing w:before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الحفاظ على السجلات</w:t>
      </w:r>
    </w:p>
    <w:p w14:paraId="0F46062E" w14:textId="5A028703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قم بإنشاء نسخة إلكترونية للقراءة فقط من نموذج تقرير تحديد المصالح الفضلى؛</w:t>
      </w:r>
    </w:p>
    <w:p w14:paraId="0C67D301" w14:textId="77777777" w:rsidR="00EE4998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تأكد من الحفظ الآمن لنموذج تقرير تحديد المصالح الفضلى ووثائق تحديد المصالح الفضلى ذات الصلة الأخرى؛</w:t>
      </w:r>
    </w:p>
    <w:p w14:paraId="06167B00" w14:textId="77777777" w:rsidR="009416F3" w:rsidRPr="00CE34E6" w:rsidRDefault="00EE4998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في حالة مغادرة الطفل لبلدٍ آخر، تأكد من سفر نسخة من نموذج تقرير تحديد المصالح الفضلى والوثائق الأساسية الأخرى مثل: قرارات الحضانة معه.</w:t>
      </w:r>
    </w:p>
    <w:p w14:paraId="2B10D5D7" w14:textId="77777777" w:rsidR="00CE34E6" w:rsidRPr="00CE34E6" w:rsidRDefault="00CE34E6" w:rsidP="00CE34E6">
      <w:pPr>
        <w:spacing w:before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74932D35" w14:textId="2E0258AE" w:rsidR="009416F3" w:rsidRPr="00CE34E6" w:rsidRDefault="009416F3" w:rsidP="00CE34E6">
      <w:pPr>
        <w:bidi/>
        <w:spacing w:before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إعادة الفتح</w:t>
      </w:r>
    </w:p>
    <w:p w14:paraId="4FE86098" w14:textId="77777777" w:rsidR="009416F3" w:rsidRPr="00CE34E6" w:rsidRDefault="009416F3" w:rsidP="00CE34E6">
      <w:pPr>
        <w:pStyle w:val="ListParagraph"/>
        <w:numPr>
          <w:ilvl w:val="0"/>
          <w:numId w:val="3"/>
        </w:numPr>
        <w:bidi/>
        <w:spacing w:before="80"/>
        <w:ind w:left="357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ارصد الحاجة المحتملة إلى إعادة فتح قرار تحديد المصالح الفضلى وبدء العملية إذا لزم الأمر.</w:t>
      </w:r>
      <w:bookmarkStart w:id="0" w:name="page97"/>
      <w:bookmarkEnd w:id="0"/>
    </w:p>
    <w:sectPr w:rsidR="009416F3" w:rsidRPr="00CE34E6" w:rsidSect="00CE34E6">
      <w:headerReference w:type="default" r:id="rId10"/>
      <w:pgSz w:w="11900" w:h="1682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C4547" w14:textId="77777777" w:rsidR="00073AB2" w:rsidRDefault="00073AB2" w:rsidP="00CE34E6">
      <w:r>
        <w:separator/>
      </w:r>
    </w:p>
  </w:endnote>
  <w:endnote w:type="continuationSeparator" w:id="0">
    <w:p w14:paraId="0FF2A843" w14:textId="77777777" w:rsidR="00073AB2" w:rsidRDefault="00073AB2" w:rsidP="00CE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EF1C" w14:textId="77777777" w:rsidR="00073AB2" w:rsidRDefault="00073AB2" w:rsidP="00CE34E6">
      <w:r>
        <w:separator/>
      </w:r>
    </w:p>
  </w:footnote>
  <w:footnote w:type="continuationSeparator" w:id="0">
    <w:p w14:paraId="3E0ECC5D" w14:textId="77777777" w:rsidR="00073AB2" w:rsidRDefault="00073AB2" w:rsidP="00CE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68D6" w14:textId="77777777" w:rsidR="00262F37" w:rsidRDefault="00262F37">
    <w:pPr>
      <w:pStyle w:val="Header"/>
    </w:pPr>
  </w:p>
  <w:p w14:paraId="3AE2A4F7" w14:textId="77777777" w:rsidR="00376BD2" w:rsidRDefault="00376BD2" w:rsidP="00376BD2">
    <w:pPr>
      <w:pStyle w:val="Header"/>
      <w:jc w:val="right"/>
    </w:pPr>
  </w:p>
  <w:p w14:paraId="629EFF19" w14:textId="27F7C5A3" w:rsidR="00CE34E6" w:rsidRDefault="00063D0B" w:rsidP="00376BD2">
    <w:pPr>
      <w:pStyle w:val="Header"/>
      <w:bidi/>
      <w:jc w:val="right"/>
      <w:rPr>
        <w:rtl/>
      </w:rPr>
    </w:pPr>
    <w:r>
      <w:rPr>
        <w:noProof/>
        <w:rtl/>
        <w:lang w:val="ar-EG"/>
      </w:rPr>
      <w:drawing>
        <wp:inline distT="0" distB="0" distL="0" distR="0" wp14:anchorId="6765CC70" wp14:editId="4760D6CE">
          <wp:extent cx="2722099" cy="641525"/>
          <wp:effectExtent l="0" t="0" r="0" b="635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72" cy="64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148"/>
    <w:multiLevelType w:val="hybridMultilevel"/>
    <w:tmpl w:val="C35AF91E"/>
    <w:lvl w:ilvl="0" w:tplc="86805B76">
      <w:start w:val="3"/>
      <w:numFmt w:val="lowerLetter"/>
      <w:lvlText w:val="%1)"/>
      <w:lvlJc w:val="left"/>
    </w:lvl>
    <w:lvl w:ilvl="1" w:tplc="15B0819A">
      <w:start w:val="1"/>
      <w:numFmt w:val="bullet"/>
      <w:lvlText w:val="  "/>
      <w:lvlJc w:val="left"/>
    </w:lvl>
    <w:lvl w:ilvl="2" w:tplc="6D386428">
      <w:numFmt w:val="decimal"/>
      <w:lvlText w:val=""/>
      <w:lvlJc w:val="left"/>
    </w:lvl>
    <w:lvl w:ilvl="3" w:tplc="C254921C">
      <w:numFmt w:val="decimal"/>
      <w:lvlText w:val=""/>
      <w:lvlJc w:val="left"/>
    </w:lvl>
    <w:lvl w:ilvl="4" w:tplc="D716EDD0">
      <w:numFmt w:val="decimal"/>
      <w:lvlText w:val=""/>
      <w:lvlJc w:val="left"/>
    </w:lvl>
    <w:lvl w:ilvl="5" w:tplc="D510642A">
      <w:numFmt w:val="decimal"/>
      <w:lvlText w:val=""/>
      <w:lvlJc w:val="left"/>
    </w:lvl>
    <w:lvl w:ilvl="6" w:tplc="25CEC33C">
      <w:numFmt w:val="decimal"/>
      <w:lvlText w:val=""/>
      <w:lvlJc w:val="left"/>
    </w:lvl>
    <w:lvl w:ilvl="7" w:tplc="5A4EF1FA">
      <w:numFmt w:val="decimal"/>
      <w:lvlText w:val=""/>
      <w:lvlJc w:val="left"/>
    </w:lvl>
    <w:lvl w:ilvl="8" w:tplc="BCE2C2BC">
      <w:numFmt w:val="decimal"/>
      <w:lvlText w:val=""/>
      <w:lvlJc w:val="left"/>
    </w:lvl>
  </w:abstractNum>
  <w:abstractNum w:abstractNumId="1" w15:restartNumberingAfterBreak="0">
    <w:nsid w:val="1E625ECA"/>
    <w:multiLevelType w:val="hybridMultilevel"/>
    <w:tmpl w:val="73FCE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E7FD0"/>
    <w:multiLevelType w:val="hybridMultilevel"/>
    <w:tmpl w:val="6B783118"/>
    <w:lvl w:ilvl="0" w:tplc="C2085060">
      <w:start w:val="2"/>
      <w:numFmt w:val="lowerLetter"/>
      <w:lvlText w:val="%1)"/>
      <w:lvlJc w:val="left"/>
    </w:lvl>
    <w:lvl w:ilvl="1" w:tplc="E7122A86">
      <w:start w:val="1"/>
      <w:numFmt w:val="bullet"/>
      <w:lvlText w:val="  "/>
      <w:lvlJc w:val="left"/>
    </w:lvl>
    <w:lvl w:ilvl="2" w:tplc="C24A394E">
      <w:numFmt w:val="decimal"/>
      <w:lvlText w:val=""/>
      <w:lvlJc w:val="left"/>
    </w:lvl>
    <w:lvl w:ilvl="3" w:tplc="D1124BEC">
      <w:numFmt w:val="decimal"/>
      <w:lvlText w:val=""/>
      <w:lvlJc w:val="left"/>
    </w:lvl>
    <w:lvl w:ilvl="4" w:tplc="0BEEE9DE">
      <w:numFmt w:val="decimal"/>
      <w:lvlText w:val=""/>
      <w:lvlJc w:val="left"/>
    </w:lvl>
    <w:lvl w:ilvl="5" w:tplc="8408A198">
      <w:numFmt w:val="decimal"/>
      <w:lvlText w:val=""/>
      <w:lvlJc w:val="left"/>
    </w:lvl>
    <w:lvl w:ilvl="6" w:tplc="E91EC222">
      <w:numFmt w:val="decimal"/>
      <w:lvlText w:val=""/>
      <w:lvlJc w:val="left"/>
    </w:lvl>
    <w:lvl w:ilvl="7" w:tplc="41A4945A">
      <w:numFmt w:val="decimal"/>
      <w:lvlText w:val=""/>
      <w:lvlJc w:val="left"/>
    </w:lvl>
    <w:lvl w:ilvl="8" w:tplc="BF5E1D76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F3"/>
    <w:rsid w:val="00063D0B"/>
    <w:rsid w:val="00073AB2"/>
    <w:rsid w:val="0018076E"/>
    <w:rsid w:val="001B2932"/>
    <w:rsid w:val="00262F37"/>
    <w:rsid w:val="002A463F"/>
    <w:rsid w:val="002E1B73"/>
    <w:rsid w:val="00376BD2"/>
    <w:rsid w:val="004E6491"/>
    <w:rsid w:val="005742D7"/>
    <w:rsid w:val="009416F3"/>
    <w:rsid w:val="00B607EA"/>
    <w:rsid w:val="00CE34E6"/>
    <w:rsid w:val="00D00B0C"/>
    <w:rsid w:val="00E04902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94FA"/>
  <w15:chartTrackingRefBased/>
  <w15:docId w15:val="{B53E5157-72A6-45A2-9872-26CF5AAC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F3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4E6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4E6"/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EA"/>
    <w:rPr>
      <w:rFonts w:ascii="Times New Roman" w:eastAsiaTheme="minorEastAsia" w:hAnsi="Times New Roman" w:cs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B0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B0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45A00-EA30-41D2-8A3A-913D03609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48F27-E4FF-47AF-8144-83AEA70CD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C9506-3FBE-40EE-BDA9-7882E216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1894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Lola Zhou</dc:creator>
  <cp:keywords/>
  <dc:description/>
  <cp:lastModifiedBy>Cliff Speck</cp:lastModifiedBy>
  <cp:revision>9</cp:revision>
  <cp:lastPrinted>2020-06-18T14:16:00Z</cp:lastPrinted>
  <dcterms:created xsi:type="dcterms:W3CDTF">2020-06-18T14:16:00Z</dcterms:created>
  <dcterms:modified xsi:type="dcterms:W3CDTF">2020-12-11T14:19:00Z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