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4E62" w14:textId="5EB6DBC1" w:rsidR="002E2994" w:rsidRPr="00A5296C" w:rsidRDefault="000733C4" w:rsidP="003B65B4">
      <w:pPr>
        <w:pStyle w:val="NoSpacing"/>
        <w:jc w:val="right"/>
        <w:rPr>
          <w:b/>
          <w:sz w:val="24"/>
          <w:szCs w:val="24"/>
        </w:rPr>
      </w:pPr>
      <w:r w:rsidRPr="00A5296C">
        <w:rPr>
          <w:b/>
          <w:sz w:val="24"/>
          <w:szCs w:val="24"/>
        </w:rPr>
        <w:t>Terms of Reference</w:t>
      </w:r>
    </w:p>
    <w:p w14:paraId="724FE68E" w14:textId="3C5F67EC" w:rsidR="00F7743F" w:rsidRDefault="00FE0BBB" w:rsidP="006901ED">
      <w:pPr>
        <w:pStyle w:val="NoSpacing"/>
        <w:pBdr>
          <w:bottom w:val="single" w:sz="12" w:space="1" w:color="auto"/>
        </w:pBdr>
        <w:jc w:val="right"/>
        <w:rPr>
          <w:b/>
          <w:sz w:val="24"/>
          <w:szCs w:val="24"/>
        </w:rPr>
      </w:pPr>
      <w:r>
        <w:rPr>
          <w:b/>
          <w:sz w:val="24"/>
          <w:szCs w:val="24"/>
        </w:rPr>
        <w:t>Service p</w:t>
      </w:r>
      <w:r w:rsidR="009170EC">
        <w:rPr>
          <w:b/>
          <w:sz w:val="24"/>
          <w:szCs w:val="24"/>
        </w:rPr>
        <w:t xml:space="preserve">rocurement of X-ray </w:t>
      </w:r>
      <w:r w:rsidR="00BF2EAE">
        <w:rPr>
          <w:b/>
          <w:sz w:val="24"/>
          <w:szCs w:val="24"/>
        </w:rPr>
        <w:t xml:space="preserve">security </w:t>
      </w:r>
      <w:r w:rsidR="009170EC">
        <w:rPr>
          <w:b/>
          <w:sz w:val="24"/>
          <w:szCs w:val="24"/>
        </w:rPr>
        <w:t>screening equipment</w:t>
      </w:r>
      <w:r w:rsidR="006901ED">
        <w:rPr>
          <w:b/>
          <w:sz w:val="24"/>
          <w:szCs w:val="24"/>
        </w:rPr>
        <w:t xml:space="preserve"> | </w:t>
      </w:r>
      <w:r w:rsidR="00F7743F" w:rsidRPr="00A5296C">
        <w:rPr>
          <w:b/>
          <w:sz w:val="24"/>
          <w:szCs w:val="24"/>
        </w:rPr>
        <w:t xml:space="preserve">UNHCR </w:t>
      </w:r>
      <w:r w:rsidR="003B65B4" w:rsidRPr="00A5296C">
        <w:rPr>
          <w:b/>
          <w:sz w:val="24"/>
          <w:szCs w:val="24"/>
        </w:rPr>
        <w:t>Egypt</w:t>
      </w:r>
    </w:p>
    <w:p w14:paraId="7E4CD76F" w14:textId="77777777" w:rsidR="006901ED" w:rsidRDefault="006901ED" w:rsidP="006901ED">
      <w:pPr>
        <w:pStyle w:val="NoSpacing"/>
        <w:jc w:val="right"/>
        <w:rPr>
          <w:b/>
          <w:sz w:val="24"/>
          <w:szCs w:val="24"/>
        </w:rPr>
      </w:pPr>
    </w:p>
    <w:p w14:paraId="64F1B548" w14:textId="77777777" w:rsidR="00F7743F" w:rsidRPr="00BE3196" w:rsidRDefault="00F7743F" w:rsidP="00F7743F">
      <w:pPr>
        <w:pStyle w:val="NoSpacing"/>
        <w:jc w:val="both"/>
        <w:rPr>
          <w:b/>
        </w:rPr>
      </w:pPr>
      <w:r w:rsidRPr="00BE3196">
        <w:rPr>
          <w:b/>
        </w:rPr>
        <w:t xml:space="preserve">I. </w:t>
      </w:r>
      <w:r w:rsidRPr="00BE3196">
        <w:rPr>
          <w:b/>
        </w:rPr>
        <w:tab/>
      </w:r>
      <w:r w:rsidR="00801585" w:rsidRPr="00BE3196">
        <w:rPr>
          <w:b/>
        </w:rPr>
        <w:t>Statement of Purpose</w:t>
      </w:r>
    </w:p>
    <w:p w14:paraId="27C48404" w14:textId="77777777" w:rsidR="00F7743F" w:rsidRDefault="00F7743F" w:rsidP="00F7743F">
      <w:pPr>
        <w:pStyle w:val="NoSpacing"/>
        <w:jc w:val="both"/>
      </w:pPr>
    </w:p>
    <w:p w14:paraId="390966C5" w14:textId="77777777" w:rsidR="003550C0" w:rsidRDefault="002F6A57" w:rsidP="002F6A57">
      <w:pPr>
        <w:pStyle w:val="NoSpacing"/>
        <w:jc w:val="both"/>
      </w:pPr>
      <w:r>
        <w:t xml:space="preserve">Based on </w:t>
      </w:r>
      <w:r w:rsidR="00E551F1">
        <w:t xml:space="preserve">the approved </w:t>
      </w:r>
      <w:r>
        <w:t xml:space="preserve">security risk mitigating measures adopted by the UN Security Management System (UNSMS) in </w:t>
      </w:r>
      <w:r w:rsidR="00BF50ED">
        <w:t>Egypt</w:t>
      </w:r>
      <w:r>
        <w:t xml:space="preserve"> –</w:t>
      </w:r>
      <w:r w:rsidR="00C300EC">
        <w:t xml:space="preserve"> </w:t>
      </w:r>
      <w:r w:rsidR="00A26343">
        <w:t>in</w:t>
      </w:r>
      <w:r w:rsidR="00801585">
        <w:t xml:space="preserve"> </w:t>
      </w:r>
      <w:r>
        <w:t xml:space="preserve">which UNHCR is an active </w:t>
      </w:r>
      <w:r w:rsidR="00153FD0">
        <w:t>participant</w:t>
      </w:r>
      <w:r w:rsidR="00C300EC">
        <w:t xml:space="preserve">, the </w:t>
      </w:r>
      <w:r w:rsidR="001605CE">
        <w:t>installation</w:t>
      </w:r>
      <w:r w:rsidR="00BA4530">
        <w:t xml:space="preserve"> </w:t>
      </w:r>
      <w:r w:rsidR="00C300EC">
        <w:t xml:space="preserve">of </w:t>
      </w:r>
      <w:r w:rsidR="003550C0">
        <w:t xml:space="preserve">security screening capabilities </w:t>
      </w:r>
      <w:r w:rsidR="00BF50ED">
        <w:t xml:space="preserve">is required </w:t>
      </w:r>
      <w:r w:rsidR="003550C0">
        <w:t>as part of the overall access control management being implemented</w:t>
      </w:r>
      <w:r w:rsidR="00BA4530">
        <w:t xml:space="preserve"> in all UN offices and facilities in the country.</w:t>
      </w:r>
    </w:p>
    <w:p w14:paraId="38B85AD3" w14:textId="77777777" w:rsidR="003550C0" w:rsidRDefault="003550C0" w:rsidP="002F6A57">
      <w:pPr>
        <w:pStyle w:val="NoSpacing"/>
        <w:jc w:val="both"/>
      </w:pPr>
    </w:p>
    <w:p w14:paraId="13812087" w14:textId="77777777" w:rsidR="00D00A6D" w:rsidRDefault="007602A3" w:rsidP="002F6A57">
      <w:pPr>
        <w:pStyle w:val="NoSpacing"/>
        <w:jc w:val="both"/>
      </w:pPr>
      <w:r>
        <w:t>F</w:t>
      </w:r>
      <w:r w:rsidR="00BF50ED">
        <w:t xml:space="preserve">or UNHCR Egypt, </w:t>
      </w:r>
      <w:r w:rsidR="001605CE">
        <w:t xml:space="preserve">the operation of a fully functional access control management system enabled by technical means such as X-ray </w:t>
      </w:r>
      <w:r w:rsidR="00BF2EAE">
        <w:t xml:space="preserve">screening </w:t>
      </w:r>
      <w:r w:rsidR="001605CE">
        <w:t>machines is particularly critical due to the range of activities being undertaken at UNHCR facilities as part of its institutional mandate to support refugees, asylum-</w:t>
      </w:r>
      <w:proofErr w:type="gramStart"/>
      <w:r w:rsidR="001605CE">
        <w:t>seekers</w:t>
      </w:r>
      <w:proofErr w:type="gramEnd"/>
      <w:r w:rsidR="001605CE">
        <w:t xml:space="preserve"> and other persons of concern</w:t>
      </w:r>
      <w:r>
        <w:t xml:space="preserve">. Such technical means provide the </w:t>
      </w:r>
      <w:r w:rsidR="0082047F">
        <w:t xml:space="preserve">capability </w:t>
      </w:r>
      <w:r>
        <w:t>to detect objects and materials deemed unsafe or generally disallowed to be brought inside UNHCR premises.</w:t>
      </w:r>
      <w:r w:rsidR="00326845">
        <w:t xml:space="preserve"> Not only are </w:t>
      </w:r>
      <w:proofErr w:type="gramStart"/>
      <w:r w:rsidR="00326845">
        <w:t>these equipment</w:t>
      </w:r>
      <w:proofErr w:type="gramEnd"/>
      <w:r w:rsidR="00326845">
        <w:t xml:space="preserve"> required under UN security policies, these capabilities are also manifestation of the Organization’s duty of care to UNHCR personnel, persons of concern, partners and </w:t>
      </w:r>
      <w:r w:rsidR="0082047F">
        <w:t xml:space="preserve">the </w:t>
      </w:r>
      <w:r w:rsidR="00326845">
        <w:t>general public.</w:t>
      </w:r>
      <w:r w:rsidR="008F2237">
        <w:t xml:space="preserve"> </w:t>
      </w:r>
      <w:r w:rsidR="00F03837">
        <w:t xml:space="preserve">On the basis of this rationale, </w:t>
      </w:r>
      <w:r w:rsidR="00D00A6D">
        <w:t xml:space="preserve">UNHCR </w:t>
      </w:r>
      <w:r w:rsidR="00F03837">
        <w:t xml:space="preserve">Egypt intends to engage the </w:t>
      </w:r>
      <w:r w:rsidR="00D00A6D">
        <w:t xml:space="preserve">services of reputable companies </w:t>
      </w:r>
      <w:r w:rsidR="00D513C2">
        <w:t xml:space="preserve">duly registered and licensed to operate in Egypt </w:t>
      </w:r>
      <w:r w:rsidR="00D00A6D">
        <w:t xml:space="preserve">to </w:t>
      </w:r>
      <w:r w:rsidR="0082047F">
        <w:t>i</w:t>
      </w:r>
      <w:r w:rsidR="00D00A6D">
        <w:t xml:space="preserve">nstall and maintain </w:t>
      </w:r>
      <w:r w:rsidR="0082047F">
        <w:t>X-ray machines</w:t>
      </w:r>
      <w:r w:rsidR="00D00A6D">
        <w:t>.</w:t>
      </w:r>
    </w:p>
    <w:p w14:paraId="5BC9A6A5" w14:textId="77777777" w:rsidR="00801585" w:rsidRDefault="00801585" w:rsidP="002F6A57">
      <w:pPr>
        <w:pStyle w:val="NoSpacing"/>
        <w:jc w:val="both"/>
      </w:pPr>
    </w:p>
    <w:p w14:paraId="620AEC58" w14:textId="77777777" w:rsidR="00801585" w:rsidRPr="00BE3196" w:rsidRDefault="00801585" w:rsidP="002F6A57">
      <w:pPr>
        <w:pStyle w:val="NoSpacing"/>
        <w:jc w:val="both"/>
        <w:rPr>
          <w:b/>
        </w:rPr>
      </w:pPr>
      <w:r w:rsidRPr="00BE3196">
        <w:rPr>
          <w:b/>
        </w:rPr>
        <w:t>II.</w:t>
      </w:r>
      <w:r w:rsidRPr="00BE3196">
        <w:rPr>
          <w:b/>
        </w:rPr>
        <w:tab/>
        <w:t>Coverage</w:t>
      </w:r>
      <w:r w:rsidR="00D515B4">
        <w:rPr>
          <w:b/>
        </w:rPr>
        <w:t xml:space="preserve"> and Quantity</w:t>
      </w:r>
    </w:p>
    <w:p w14:paraId="5819D518" w14:textId="77777777" w:rsidR="00801585" w:rsidRDefault="00801585" w:rsidP="002F6A57">
      <w:pPr>
        <w:pStyle w:val="NoSpacing"/>
        <w:jc w:val="both"/>
      </w:pPr>
    </w:p>
    <w:p w14:paraId="7210CD7C" w14:textId="77777777" w:rsidR="00801585" w:rsidRDefault="00A04226" w:rsidP="002F6A57">
      <w:pPr>
        <w:pStyle w:val="NoSpacing"/>
        <w:jc w:val="both"/>
      </w:pPr>
      <w:r>
        <w:t xml:space="preserve">One (01) unit of </w:t>
      </w:r>
      <w:r w:rsidR="00E025E5">
        <w:t>X-ray machine</w:t>
      </w:r>
      <w:r w:rsidR="005B5C33">
        <w:t xml:space="preserve"> (baggage scanner)</w:t>
      </w:r>
      <w:r w:rsidR="00E025E5">
        <w:t xml:space="preserve"> </w:t>
      </w:r>
      <w:r w:rsidR="008F2237">
        <w:t>will</w:t>
      </w:r>
      <w:r w:rsidR="00801585">
        <w:t xml:space="preserve"> be </w:t>
      </w:r>
      <w:r w:rsidR="009A669A">
        <w:t>installed</w:t>
      </w:r>
      <w:r w:rsidR="00801585">
        <w:t xml:space="preserve"> </w:t>
      </w:r>
      <w:r w:rsidR="008F2237">
        <w:t xml:space="preserve">in </w:t>
      </w:r>
      <w:r w:rsidR="00801585">
        <w:t xml:space="preserve">UNHCR </w:t>
      </w:r>
      <w:r w:rsidR="008F2237">
        <w:t xml:space="preserve">Egypt </w:t>
      </w:r>
      <w:r w:rsidR="00801585">
        <w:t>premises:</w:t>
      </w:r>
    </w:p>
    <w:p w14:paraId="09A8111A" w14:textId="77777777" w:rsidR="00D70EB3" w:rsidRDefault="00D70EB3" w:rsidP="002F6A57">
      <w:pPr>
        <w:pStyle w:val="NoSpacing"/>
        <w:jc w:val="both"/>
      </w:pPr>
    </w:p>
    <w:tbl>
      <w:tblPr>
        <w:tblStyle w:val="TableGrid"/>
        <w:tblW w:w="0" w:type="auto"/>
        <w:jc w:val="center"/>
        <w:tblLook w:val="04A0" w:firstRow="1" w:lastRow="0" w:firstColumn="1" w:lastColumn="0" w:noHBand="0" w:noVBand="1"/>
      </w:tblPr>
      <w:tblGrid>
        <w:gridCol w:w="2700"/>
        <w:gridCol w:w="2520"/>
      </w:tblGrid>
      <w:tr w:rsidR="00BF2EAE" w:rsidRPr="00D515B4" w14:paraId="7BF1D471" w14:textId="77777777" w:rsidTr="00D70EB3">
        <w:trPr>
          <w:jc w:val="center"/>
        </w:trPr>
        <w:tc>
          <w:tcPr>
            <w:tcW w:w="2700" w:type="dxa"/>
            <w:shd w:val="clear" w:color="auto" w:fill="C6D9F1" w:themeFill="text2" w:themeFillTint="33"/>
          </w:tcPr>
          <w:p w14:paraId="0FA4BA16" w14:textId="77777777" w:rsidR="00BF2EAE" w:rsidRPr="00D515B4" w:rsidRDefault="00BF2EAE" w:rsidP="00D515B4">
            <w:pPr>
              <w:pStyle w:val="NoSpacing"/>
              <w:jc w:val="center"/>
              <w:rPr>
                <w:b/>
              </w:rPr>
            </w:pPr>
            <w:r w:rsidRPr="00D515B4">
              <w:rPr>
                <w:b/>
              </w:rPr>
              <w:t>Office Location</w:t>
            </w:r>
          </w:p>
        </w:tc>
        <w:tc>
          <w:tcPr>
            <w:tcW w:w="2520" w:type="dxa"/>
            <w:shd w:val="clear" w:color="auto" w:fill="C6D9F1" w:themeFill="text2" w:themeFillTint="33"/>
          </w:tcPr>
          <w:p w14:paraId="3D8394D7" w14:textId="77777777" w:rsidR="00BF2EAE" w:rsidRPr="00D515B4" w:rsidRDefault="00BF2EAE" w:rsidP="00D515B4">
            <w:pPr>
              <w:pStyle w:val="NoSpacing"/>
              <w:jc w:val="center"/>
              <w:rPr>
                <w:b/>
              </w:rPr>
            </w:pPr>
            <w:r w:rsidRPr="00D515B4">
              <w:rPr>
                <w:b/>
              </w:rPr>
              <w:t>X-ray Screening Machine</w:t>
            </w:r>
          </w:p>
        </w:tc>
      </w:tr>
      <w:tr w:rsidR="00BF2EAE" w14:paraId="1D90F504" w14:textId="77777777" w:rsidTr="00851C29">
        <w:trPr>
          <w:jc w:val="center"/>
        </w:trPr>
        <w:tc>
          <w:tcPr>
            <w:tcW w:w="2700" w:type="dxa"/>
            <w:vAlign w:val="center"/>
          </w:tcPr>
          <w:p w14:paraId="076FF92D" w14:textId="4879BE82" w:rsidR="008548C4" w:rsidRDefault="0035371A" w:rsidP="008548C4">
            <w:pPr>
              <w:pStyle w:val="NoSpacing"/>
              <w:jc w:val="center"/>
            </w:pPr>
            <w:r w:rsidRPr="0035371A">
              <w:rPr>
                <w:highlight w:val="yellow"/>
              </w:rPr>
              <w:t>Cairo</w:t>
            </w:r>
          </w:p>
        </w:tc>
        <w:tc>
          <w:tcPr>
            <w:tcW w:w="2520" w:type="dxa"/>
            <w:vAlign w:val="center"/>
          </w:tcPr>
          <w:p w14:paraId="6DB6EC37" w14:textId="77777777" w:rsidR="00BF2EAE" w:rsidRDefault="00BF2EAE" w:rsidP="004F693B">
            <w:pPr>
              <w:pStyle w:val="NoSpacing"/>
              <w:jc w:val="center"/>
            </w:pPr>
            <w:r>
              <w:t>1</w:t>
            </w:r>
          </w:p>
        </w:tc>
      </w:tr>
    </w:tbl>
    <w:p w14:paraId="5D1457D1" w14:textId="77777777" w:rsidR="008F01C9" w:rsidRDefault="008F01C9" w:rsidP="008F01C9">
      <w:pPr>
        <w:pStyle w:val="NoSpacing"/>
        <w:ind w:left="720"/>
        <w:jc w:val="both"/>
      </w:pPr>
    </w:p>
    <w:p w14:paraId="7079E40F" w14:textId="77777777" w:rsidR="00D524CD" w:rsidRPr="00B00271" w:rsidRDefault="00D524CD" w:rsidP="00801585">
      <w:pPr>
        <w:pStyle w:val="NoSpacing"/>
        <w:jc w:val="both"/>
        <w:rPr>
          <w:b/>
        </w:rPr>
      </w:pPr>
      <w:r w:rsidRPr="00B00271">
        <w:rPr>
          <w:b/>
        </w:rPr>
        <w:t>III.</w:t>
      </w:r>
      <w:r w:rsidRPr="00B00271">
        <w:rPr>
          <w:b/>
        </w:rPr>
        <w:tab/>
        <w:t>Purpose</w:t>
      </w:r>
    </w:p>
    <w:p w14:paraId="0F2F0C50" w14:textId="77777777" w:rsidR="00D524CD" w:rsidRPr="008F01C9" w:rsidRDefault="00D524CD" w:rsidP="00801585">
      <w:pPr>
        <w:pStyle w:val="NoSpacing"/>
        <w:jc w:val="both"/>
        <w:rPr>
          <w:color w:val="FF0000"/>
        </w:rPr>
      </w:pPr>
    </w:p>
    <w:p w14:paraId="1AF80C17" w14:textId="77777777" w:rsidR="00B00271" w:rsidRDefault="00D524CD" w:rsidP="00D524CD">
      <w:pPr>
        <w:pStyle w:val="NoSpacing"/>
        <w:numPr>
          <w:ilvl w:val="0"/>
          <w:numId w:val="2"/>
        </w:numPr>
        <w:jc w:val="both"/>
        <w:rPr>
          <w:rFonts w:cstheme="minorHAnsi"/>
          <w:lang w:val="en-PH"/>
        </w:rPr>
      </w:pPr>
      <w:r w:rsidRPr="00B00271">
        <w:rPr>
          <w:rFonts w:cstheme="minorHAnsi"/>
          <w:lang w:val="en-PH"/>
        </w:rPr>
        <w:t xml:space="preserve">To enable </w:t>
      </w:r>
      <w:r w:rsidR="00E628E3">
        <w:rPr>
          <w:rFonts w:cstheme="minorHAnsi"/>
          <w:lang w:val="en-PH"/>
        </w:rPr>
        <w:t xml:space="preserve">real-time </w:t>
      </w:r>
      <w:r w:rsidR="00D515B4">
        <w:rPr>
          <w:rFonts w:cstheme="minorHAnsi"/>
          <w:lang w:val="en-PH"/>
        </w:rPr>
        <w:t xml:space="preserve">3D visual screening of parcels, bags and other materials as part of the office access control </w:t>
      </w:r>
      <w:proofErr w:type="gramStart"/>
      <w:r w:rsidR="00D515B4">
        <w:rPr>
          <w:rFonts w:cstheme="minorHAnsi"/>
          <w:lang w:val="en-PH"/>
        </w:rPr>
        <w:t>procedures;</w:t>
      </w:r>
      <w:proofErr w:type="gramEnd"/>
    </w:p>
    <w:p w14:paraId="38F49C95" w14:textId="77777777" w:rsidR="00B00271" w:rsidRDefault="00D515B4" w:rsidP="00D515B4">
      <w:pPr>
        <w:pStyle w:val="NoSpacing"/>
        <w:numPr>
          <w:ilvl w:val="0"/>
          <w:numId w:val="2"/>
        </w:numPr>
        <w:jc w:val="both"/>
        <w:rPr>
          <w:rFonts w:cstheme="minorHAnsi"/>
          <w:lang w:val="en-PH"/>
        </w:rPr>
      </w:pPr>
      <w:r>
        <w:rPr>
          <w:rFonts w:cstheme="minorHAnsi"/>
          <w:lang w:val="en-PH"/>
        </w:rPr>
        <w:t xml:space="preserve">To provide adequate </w:t>
      </w:r>
      <w:r w:rsidR="00D36BB9">
        <w:rPr>
          <w:rFonts w:cstheme="minorHAnsi"/>
          <w:lang w:val="en-PH"/>
        </w:rPr>
        <w:t xml:space="preserve">detection capabilities to identify dangerous, illegal and disallowed objects, materiel or </w:t>
      </w:r>
      <w:proofErr w:type="gramStart"/>
      <w:r w:rsidR="00D36BB9">
        <w:rPr>
          <w:rFonts w:cstheme="minorHAnsi"/>
          <w:lang w:val="en-PH"/>
        </w:rPr>
        <w:t>items;</w:t>
      </w:r>
      <w:proofErr w:type="gramEnd"/>
    </w:p>
    <w:p w14:paraId="1B27CBE2" w14:textId="77777777" w:rsidR="00D36BB9" w:rsidRDefault="00D36BB9" w:rsidP="00D515B4">
      <w:pPr>
        <w:pStyle w:val="NoSpacing"/>
        <w:numPr>
          <w:ilvl w:val="0"/>
          <w:numId w:val="2"/>
        </w:numPr>
        <w:jc w:val="both"/>
        <w:rPr>
          <w:rFonts w:cstheme="minorHAnsi"/>
          <w:lang w:val="en-PH"/>
        </w:rPr>
      </w:pPr>
      <w:r>
        <w:rPr>
          <w:rFonts w:cstheme="minorHAnsi"/>
          <w:lang w:val="en-PH"/>
        </w:rPr>
        <w:t>To</w:t>
      </w:r>
      <w:r w:rsidR="00E628E3">
        <w:rPr>
          <w:rFonts w:cstheme="minorHAnsi"/>
          <w:lang w:val="en-PH"/>
        </w:rPr>
        <w:t xml:space="preserve"> comply with required organizational security risk management measures and occupational health </w:t>
      </w:r>
      <w:proofErr w:type="gramStart"/>
      <w:r w:rsidR="00E628E3">
        <w:rPr>
          <w:rFonts w:cstheme="minorHAnsi"/>
          <w:lang w:val="en-PH"/>
        </w:rPr>
        <w:t>standards;</w:t>
      </w:r>
      <w:proofErr w:type="gramEnd"/>
    </w:p>
    <w:p w14:paraId="60C56914" w14:textId="77777777" w:rsidR="00E628E3" w:rsidRPr="00504B36" w:rsidRDefault="00E628E3" w:rsidP="00934808">
      <w:pPr>
        <w:pStyle w:val="NoSpacing"/>
        <w:jc w:val="both"/>
        <w:rPr>
          <w:rFonts w:cstheme="minorHAnsi"/>
          <w:b/>
          <w:color w:val="FF0000"/>
          <w:sz w:val="16"/>
          <w:szCs w:val="16"/>
          <w:lang w:val="en-PH"/>
        </w:rPr>
      </w:pPr>
    </w:p>
    <w:p w14:paraId="105D0527" w14:textId="77777777" w:rsidR="00934808" w:rsidRDefault="00934808" w:rsidP="00934808">
      <w:pPr>
        <w:pStyle w:val="NoSpacing"/>
        <w:jc w:val="both"/>
        <w:rPr>
          <w:rFonts w:cstheme="minorHAnsi"/>
          <w:b/>
          <w:lang w:val="en-PH"/>
        </w:rPr>
      </w:pPr>
      <w:r w:rsidRPr="00E628E3">
        <w:rPr>
          <w:rFonts w:cstheme="minorHAnsi"/>
          <w:b/>
          <w:lang w:val="en-PH"/>
        </w:rPr>
        <w:t xml:space="preserve">IV. </w:t>
      </w:r>
      <w:r w:rsidRPr="00E628E3">
        <w:rPr>
          <w:rFonts w:cstheme="minorHAnsi"/>
          <w:b/>
          <w:lang w:val="en-PH"/>
        </w:rPr>
        <w:tab/>
      </w:r>
      <w:r w:rsidR="00E628E3">
        <w:rPr>
          <w:rFonts w:cstheme="minorHAnsi"/>
          <w:b/>
          <w:lang w:val="en-PH"/>
        </w:rPr>
        <w:t>Specifications</w:t>
      </w:r>
      <w:r w:rsidR="008B727C">
        <w:rPr>
          <w:rFonts w:cstheme="minorHAnsi"/>
          <w:b/>
          <w:lang w:val="en-PH"/>
        </w:rPr>
        <w:t xml:space="preserve"> (X-ray Machine)</w:t>
      </w:r>
    </w:p>
    <w:p w14:paraId="5B9B5753" w14:textId="77777777" w:rsidR="00E628E3" w:rsidRDefault="00E628E3" w:rsidP="00934808">
      <w:pPr>
        <w:pStyle w:val="NoSpacing"/>
        <w:jc w:val="both"/>
        <w:rPr>
          <w:rFonts w:cstheme="minorHAnsi"/>
          <w:b/>
          <w:lang w:val="en-PH"/>
        </w:rPr>
      </w:pPr>
    </w:p>
    <w:tbl>
      <w:tblPr>
        <w:tblStyle w:val="TableGrid"/>
        <w:tblW w:w="0" w:type="auto"/>
        <w:tblInd w:w="108" w:type="dxa"/>
        <w:tblLook w:val="04A0" w:firstRow="1" w:lastRow="0" w:firstColumn="1" w:lastColumn="0" w:noHBand="0" w:noVBand="1"/>
      </w:tblPr>
      <w:tblGrid>
        <w:gridCol w:w="4089"/>
        <w:gridCol w:w="5153"/>
      </w:tblGrid>
      <w:tr w:rsidR="008F2237" w14:paraId="2E6BB494" w14:textId="77777777" w:rsidTr="00504B36">
        <w:tc>
          <w:tcPr>
            <w:tcW w:w="4140" w:type="dxa"/>
            <w:shd w:val="clear" w:color="auto" w:fill="C6D9F1" w:themeFill="text2" w:themeFillTint="33"/>
          </w:tcPr>
          <w:p w14:paraId="7171E0CB" w14:textId="77777777" w:rsidR="008F2237" w:rsidRDefault="008F2237" w:rsidP="008F2237">
            <w:pPr>
              <w:pStyle w:val="NoSpacing"/>
              <w:jc w:val="center"/>
              <w:rPr>
                <w:rFonts w:cstheme="minorHAnsi"/>
                <w:b/>
                <w:lang w:val="en-PH"/>
              </w:rPr>
            </w:pPr>
            <w:r>
              <w:rPr>
                <w:rFonts w:cstheme="minorHAnsi"/>
                <w:b/>
                <w:lang w:val="en-PH"/>
              </w:rPr>
              <w:t>Indicator</w:t>
            </w:r>
          </w:p>
        </w:tc>
        <w:tc>
          <w:tcPr>
            <w:tcW w:w="5220" w:type="dxa"/>
            <w:shd w:val="clear" w:color="auto" w:fill="C6D9F1" w:themeFill="text2" w:themeFillTint="33"/>
          </w:tcPr>
          <w:p w14:paraId="38C9BD30" w14:textId="77777777" w:rsidR="008F2237" w:rsidRDefault="008F2237" w:rsidP="008F2237">
            <w:pPr>
              <w:pStyle w:val="NoSpacing"/>
              <w:jc w:val="center"/>
              <w:rPr>
                <w:rFonts w:cstheme="minorHAnsi"/>
                <w:b/>
                <w:lang w:val="en-PH"/>
              </w:rPr>
            </w:pPr>
            <w:r>
              <w:rPr>
                <w:rFonts w:cstheme="minorHAnsi"/>
                <w:b/>
                <w:lang w:val="en-PH"/>
              </w:rPr>
              <w:t>Description</w:t>
            </w:r>
          </w:p>
        </w:tc>
      </w:tr>
      <w:tr w:rsidR="008F2237" w14:paraId="5AD579DF" w14:textId="77777777" w:rsidTr="00504B36">
        <w:tc>
          <w:tcPr>
            <w:tcW w:w="4140" w:type="dxa"/>
            <w:vAlign w:val="center"/>
          </w:tcPr>
          <w:p w14:paraId="74FB58F2" w14:textId="77777777" w:rsidR="008F2237" w:rsidRPr="008F2237" w:rsidRDefault="008F2237" w:rsidP="00C668EF">
            <w:pPr>
              <w:pStyle w:val="NoSpacing"/>
              <w:jc w:val="center"/>
              <w:rPr>
                <w:rFonts w:cstheme="minorHAnsi"/>
                <w:lang w:val="en-PH"/>
              </w:rPr>
            </w:pPr>
            <w:r w:rsidRPr="008F2237">
              <w:rPr>
                <w:rFonts w:cstheme="minorHAnsi"/>
                <w:lang w:val="en-PH"/>
              </w:rPr>
              <w:t>Genera</w:t>
            </w:r>
            <w:r>
              <w:rPr>
                <w:rFonts w:cstheme="minorHAnsi"/>
                <w:lang w:val="en-PH"/>
              </w:rPr>
              <w:t>l requirement</w:t>
            </w:r>
          </w:p>
        </w:tc>
        <w:tc>
          <w:tcPr>
            <w:tcW w:w="5220" w:type="dxa"/>
          </w:tcPr>
          <w:p w14:paraId="69902B2E" w14:textId="77777777" w:rsidR="008F2237" w:rsidRPr="008F2237" w:rsidRDefault="008F2237" w:rsidP="00DB13F6">
            <w:pPr>
              <w:pStyle w:val="NoSpacing"/>
              <w:jc w:val="both"/>
              <w:rPr>
                <w:rFonts w:cstheme="minorHAnsi"/>
                <w:lang w:val="en-PH"/>
              </w:rPr>
            </w:pPr>
            <w:r w:rsidRPr="008F2237">
              <w:rPr>
                <w:rFonts w:cstheme="minorHAnsi"/>
                <w:lang w:val="en-PH"/>
              </w:rPr>
              <w:t>X-ray scanning double source with 3D perspective</w:t>
            </w:r>
            <w:r w:rsidR="00F62B45">
              <w:rPr>
                <w:rFonts w:cstheme="minorHAnsi"/>
                <w:lang w:val="en-PH"/>
              </w:rPr>
              <w:t xml:space="preserve"> with real-time self-diagnostics and network ready</w:t>
            </w:r>
          </w:p>
        </w:tc>
      </w:tr>
      <w:tr w:rsidR="008F2237" w14:paraId="6353A3FF" w14:textId="77777777" w:rsidTr="00504B36">
        <w:tc>
          <w:tcPr>
            <w:tcW w:w="4140" w:type="dxa"/>
            <w:vAlign w:val="center"/>
          </w:tcPr>
          <w:p w14:paraId="4AB14B02" w14:textId="77777777" w:rsidR="008F2237" w:rsidRPr="008F2237" w:rsidRDefault="008F2237" w:rsidP="00C668EF">
            <w:pPr>
              <w:pStyle w:val="NoSpacing"/>
              <w:jc w:val="center"/>
              <w:rPr>
                <w:rFonts w:cstheme="minorHAnsi"/>
                <w:lang w:val="en-PH"/>
              </w:rPr>
            </w:pPr>
            <w:r>
              <w:rPr>
                <w:rFonts w:cstheme="minorHAnsi"/>
                <w:lang w:val="en-PH"/>
              </w:rPr>
              <w:t>Loading capacity</w:t>
            </w:r>
          </w:p>
        </w:tc>
        <w:tc>
          <w:tcPr>
            <w:tcW w:w="5220" w:type="dxa"/>
          </w:tcPr>
          <w:p w14:paraId="0E977441" w14:textId="77777777" w:rsidR="008F2237" w:rsidRPr="008F2237" w:rsidRDefault="008F2237" w:rsidP="00934808">
            <w:pPr>
              <w:pStyle w:val="NoSpacing"/>
              <w:jc w:val="both"/>
              <w:rPr>
                <w:rFonts w:cstheme="minorHAnsi"/>
                <w:lang w:val="en-PH"/>
              </w:rPr>
            </w:pPr>
            <w:r w:rsidRPr="008F2237">
              <w:rPr>
                <w:rFonts w:cstheme="minorHAnsi"/>
                <w:lang w:val="en-PH"/>
              </w:rPr>
              <w:t>At least 100kg</w:t>
            </w:r>
            <w:r w:rsidR="00C668EF">
              <w:rPr>
                <w:rFonts w:cstheme="minorHAnsi"/>
                <w:lang w:val="en-PH"/>
              </w:rPr>
              <w:t xml:space="preserve"> or more</w:t>
            </w:r>
          </w:p>
        </w:tc>
      </w:tr>
      <w:tr w:rsidR="008F2237" w14:paraId="55F4B1FB" w14:textId="77777777" w:rsidTr="00504B36">
        <w:tc>
          <w:tcPr>
            <w:tcW w:w="4140" w:type="dxa"/>
            <w:vAlign w:val="center"/>
          </w:tcPr>
          <w:p w14:paraId="1AC76B4B" w14:textId="77777777" w:rsidR="008F2237" w:rsidRPr="008F2237" w:rsidRDefault="008F2237" w:rsidP="00C668EF">
            <w:pPr>
              <w:pStyle w:val="NoSpacing"/>
              <w:jc w:val="center"/>
              <w:rPr>
                <w:rFonts w:cstheme="minorHAnsi"/>
                <w:lang w:val="en-PH"/>
              </w:rPr>
            </w:pPr>
            <w:r>
              <w:rPr>
                <w:rFonts w:cstheme="minorHAnsi"/>
                <w:lang w:val="en-PH"/>
              </w:rPr>
              <w:t>Dimension</w:t>
            </w:r>
          </w:p>
        </w:tc>
        <w:tc>
          <w:tcPr>
            <w:tcW w:w="5220" w:type="dxa"/>
          </w:tcPr>
          <w:p w14:paraId="6F6BE72C" w14:textId="77777777" w:rsidR="004F693B" w:rsidRDefault="004F693B" w:rsidP="00F62B45">
            <w:pPr>
              <w:pStyle w:val="NoSpacing"/>
              <w:jc w:val="both"/>
            </w:pPr>
            <w:r>
              <w:t>W65 cm x H</w:t>
            </w:r>
            <w:r w:rsidR="00F62B45">
              <w:t>45 cm</w:t>
            </w:r>
            <w:r>
              <w:t xml:space="preserve"> </w:t>
            </w:r>
            <w:r w:rsidR="00B15431">
              <w:t>indicatively</w:t>
            </w:r>
          </w:p>
          <w:p w14:paraId="19907567" w14:textId="3C776FBE" w:rsidR="008F2237" w:rsidRPr="006A6A40" w:rsidRDefault="004F693B" w:rsidP="00226547">
            <w:pPr>
              <w:pStyle w:val="NoSpacing"/>
              <w:jc w:val="both"/>
              <w:rPr>
                <w:rFonts w:cstheme="minorHAnsi"/>
                <w:i/>
                <w:lang w:val="en-PH"/>
              </w:rPr>
            </w:pPr>
            <w:r w:rsidRPr="006A6A40">
              <w:rPr>
                <w:i/>
              </w:rPr>
              <w:t>*</w:t>
            </w:r>
            <w:proofErr w:type="gramStart"/>
            <w:r w:rsidRPr="006A6A40">
              <w:rPr>
                <w:i/>
              </w:rPr>
              <w:t>for</w:t>
            </w:r>
            <w:proofErr w:type="gramEnd"/>
            <w:r w:rsidRPr="006A6A40">
              <w:rPr>
                <w:i/>
              </w:rPr>
              <w:t xml:space="preserve"> </w:t>
            </w:r>
            <w:r w:rsidR="0035371A">
              <w:rPr>
                <w:i/>
              </w:rPr>
              <w:t>UNHCR Cairo Main building</w:t>
            </w:r>
            <w:r w:rsidRPr="006A6A40">
              <w:rPr>
                <w:i/>
              </w:rPr>
              <w:t xml:space="preserve"> Office, requiring small/compact version due to space constraint</w:t>
            </w:r>
          </w:p>
        </w:tc>
      </w:tr>
      <w:tr w:rsidR="00C668EF" w14:paraId="61C93D31" w14:textId="77777777" w:rsidTr="00504B36">
        <w:tc>
          <w:tcPr>
            <w:tcW w:w="4140" w:type="dxa"/>
            <w:vAlign w:val="center"/>
          </w:tcPr>
          <w:p w14:paraId="275CC18D" w14:textId="77777777" w:rsidR="00C668EF" w:rsidRPr="008F2237" w:rsidRDefault="00F62B45" w:rsidP="00C668EF">
            <w:pPr>
              <w:pStyle w:val="NoSpacing"/>
              <w:jc w:val="center"/>
              <w:rPr>
                <w:rFonts w:cstheme="minorHAnsi"/>
                <w:lang w:val="en-PH"/>
              </w:rPr>
            </w:pPr>
            <w:r>
              <w:rPr>
                <w:rFonts w:cstheme="minorHAnsi"/>
                <w:lang w:val="en-PH"/>
              </w:rPr>
              <w:t>Steel penetration</w:t>
            </w:r>
          </w:p>
        </w:tc>
        <w:tc>
          <w:tcPr>
            <w:tcW w:w="5220" w:type="dxa"/>
          </w:tcPr>
          <w:p w14:paraId="2C7A101F" w14:textId="77777777" w:rsidR="00C668EF" w:rsidRPr="008F2237" w:rsidRDefault="006A6A40" w:rsidP="004F693B">
            <w:pPr>
              <w:pStyle w:val="NoSpacing"/>
              <w:jc w:val="both"/>
              <w:rPr>
                <w:rFonts w:cstheme="minorHAnsi"/>
                <w:lang w:val="en-PH"/>
              </w:rPr>
            </w:pPr>
            <w:r>
              <w:t>Steel p</w:t>
            </w:r>
            <w:r w:rsidR="00F62B45" w:rsidRPr="00F62B45">
              <w:t>enetration of 39 mm</w:t>
            </w:r>
            <w:r w:rsidR="004F693B">
              <w:t xml:space="preserve"> or better</w:t>
            </w:r>
          </w:p>
        </w:tc>
      </w:tr>
      <w:tr w:rsidR="008F2237" w14:paraId="5B1736A6" w14:textId="77777777" w:rsidTr="00504B36">
        <w:tc>
          <w:tcPr>
            <w:tcW w:w="4140" w:type="dxa"/>
            <w:vAlign w:val="center"/>
          </w:tcPr>
          <w:p w14:paraId="003D6908" w14:textId="77777777" w:rsidR="008F2237" w:rsidRPr="008F2237" w:rsidRDefault="008F2237" w:rsidP="00C668EF">
            <w:pPr>
              <w:pStyle w:val="NoSpacing"/>
              <w:jc w:val="center"/>
              <w:rPr>
                <w:rFonts w:cstheme="minorHAnsi"/>
                <w:lang w:val="en-PH"/>
              </w:rPr>
            </w:pPr>
            <w:r w:rsidRPr="008F2237">
              <w:rPr>
                <w:rFonts w:cstheme="minorHAnsi"/>
                <w:lang w:val="en-PH"/>
              </w:rPr>
              <w:lastRenderedPageBreak/>
              <w:t>Threat Image Projection</w:t>
            </w:r>
          </w:p>
        </w:tc>
        <w:tc>
          <w:tcPr>
            <w:tcW w:w="5220" w:type="dxa"/>
          </w:tcPr>
          <w:p w14:paraId="4EF2FE6B" w14:textId="118C7A65" w:rsidR="008F2237" w:rsidRPr="008F2237" w:rsidRDefault="008F2237" w:rsidP="00C80C1D">
            <w:pPr>
              <w:pStyle w:val="NoSpacing"/>
              <w:jc w:val="both"/>
              <w:rPr>
                <w:rFonts w:cstheme="minorHAnsi"/>
                <w:lang w:val="en-PH"/>
              </w:rPr>
            </w:pPr>
            <w:r w:rsidRPr="008F2237">
              <w:rPr>
                <w:rFonts w:cstheme="minorHAnsi"/>
                <w:lang w:val="en-PH"/>
              </w:rPr>
              <w:t>Available</w:t>
            </w:r>
            <w:r>
              <w:rPr>
                <w:rFonts w:cstheme="minorHAnsi"/>
                <w:lang w:val="en-PH"/>
              </w:rPr>
              <w:t xml:space="preserve"> as an option to activate </w:t>
            </w:r>
            <w:r w:rsidR="00C668EF">
              <w:rPr>
                <w:rFonts w:cstheme="minorHAnsi"/>
                <w:lang w:val="en-PH"/>
              </w:rPr>
              <w:t>FTI (fictitious threat image) and CTI (combined threat image) as part of the software package</w:t>
            </w:r>
            <w:r w:rsidR="00F62B45">
              <w:rPr>
                <w:rFonts w:cstheme="minorHAnsi"/>
                <w:lang w:val="en-PH"/>
              </w:rPr>
              <w:t>. Capacity for material discrimination and marking. Presence of integrated threat libr</w:t>
            </w:r>
            <w:r w:rsidR="00C80C1D">
              <w:rPr>
                <w:rFonts w:cstheme="minorHAnsi"/>
                <w:lang w:val="en-PH"/>
              </w:rPr>
              <w:t>ary for common material threats of 50,000 images or more</w:t>
            </w:r>
          </w:p>
        </w:tc>
      </w:tr>
      <w:tr w:rsidR="00DB13F6" w14:paraId="65B2E7E0" w14:textId="77777777" w:rsidTr="00504B36">
        <w:tc>
          <w:tcPr>
            <w:tcW w:w="4140" w:type="dxa"/>
            <w:vAlign w:val="center"/>
          </w:tcPr>
          <w:p w14:paraId="2498561F" w14:textId="77777777" w:rsidR="00DB13F6" w:rsidRDefault="00DB13F6" w:rsidP="00C668EF">
            <w:pPr>
              <w:pStyle w:val="NoSpacing"/>
              <w:jc w:val="center"/>
              <w:rPr>
                <w:rFonts w:cstheme="minorHAnsi"/>
                <w:lang w:val="en-PH"/>
              </w:rPr>
            </w:pPr>
            <w:r>
              <w:rPr>
                <w:rFonts w:cstheme="minorHAnsi"/>
                <w:lang w:val="en-PH"/>
              </w:rPr>
              <w:t>Conveyor speed</w:t>
            </w:r>
          </w:p>
        </w:tc>
        <w:tc>
          <w:tcPr>
            <w:tcW w:w="5220" w:type="dxa"/>
          </w:tcPr>
          <w:p w14:paraId="032CB89C" w14:textId="77777777" w:rsidR="00DB13F6" w:rsidRDefault="00DB13F6" w:rsidP="00934808">
            <w:pPr>
              <w:pStyle w:val="NoSpacing"/>
              <w:jc w:val="both"/>
            </w:pPr>
            <w:r>
              <w:t>0.20 m/sec -0.22 m/sec with ±5% tolerance</w:t>
            </w:r>
            <w:r w:rsidR="00B15431">
              <w:t xml:space="preserve"> or similar</w:t>
            </w:r>
          </w:p>
        </w:tc>
      </w:tr>
      <w:tr w:rsidR="00DB13F6" w14:paraId="4DF02515" w14:textId="77777777" w:rsidTr="00504B36">
        <w:tc>
          <w:tcPr>
            <w:tcW w:w="4140" w:type="dxa"/>
            <w:vAlign w:val="center"/>
          </w:tcPr>
          <w:p w14:paraId="1B7666DA" w14:textId="77777777" w:rsidR="00DB13F6" w:rsidRDefault="00F62B45" w:rsidP="00C668EF">
            <w:pPr>
              <w:pStyle w:val="NoSpacing"/>
              <w:jc w:val="center"/>
              <w:rPr>
                <w:rFonts w:cstheme="minorHAnsi"/>
                <w:lang w:val="en-PH"/>
              </w:rPr>
            </w:pPr>
            <w:r>
              <w:rPr>
                <w:rFonts w:cstheme="minorHAnsi"/>
                <w:lang w:val="en-PH"/>
              </w:rPr>
              <w:t>Color imaging</w:t>
            </w:r>
          </w:p>
        </w:tc>
        <w:tc>
          <w:tcPr>
            <w:tcW w:w="5220" w:type="dxa"/>
          </w:tcPr>
          <w:p w14:paraId="285487F2" w14:textId="70E8D1C9" w:rsidR="00DB13F6" w:rsidRDefault="00F62B45" w:rsidP="00705BA8">
            <w:pPr>
              <w:pStyle w:val="NoSpacing"/>
              <w:jc w:val="both"/>
            </w:pPr>
            <w:r>
              <w:t>At least 6 color high resolution imaging with at least 24-bit color, allowing image transfer to jpeg conversion with image annotation and review</w:t>
            </w:r>
            <w:r w:rsidR="00021243">
              <w:t xml:space="preserve"> or similar</w:t>
            </w:r>
          </w:p>
        </w:tc>
      </w:tr>
      <w:tr w:rsidR="00F62B45" w14:paraId="7D2C756E" w14:textId="77777777" w:rsidTr="00504B36">
        <w:tc>
          <w:tcPr>
            <w:tcW w:w="4140" w:type="dxa"/>
            <w:vAlign w:val="center"/>
          </w:tcPr>
          <w:p w14:paraId="10CB6C20" w14:textId="77777777" w:rsidR="00F62B45" w:rsidRDefault="00F62B45" w:rsidP="00C668EF">
            <w:pPr>
              <w:pStyle w:val="NoSpacing"/>
              <w:jc w:val="center"/>
              <w:rPr>
                <w:rFonts w:cstheme="minorHAnsi"/>
                <w:lang w:val="en-PH"/>
              </w:rPr>
            </w:pPr>
            <w:r>
              <w:rPr>
                <w:rFonts w:cstheme="minorHAnsi"/>
                <w:lang w:val="en-PH"/>
              </w:rPr>
              <w:t>Zoom function</w:t>
            </w:r>
          </w:p>
        </w:tc>
        <w:tc>
          <w:tcPr>
            <w:tcW w:w="5220" w:type="dxa"/>
          </w:tcPr>
          <w:p w14:paraId="66FFC4C4" w14:textId="52499E6E" w:rsidR="00F62B45" w:rsidRDefault="00F62B45" w:rsidP="00F62B45">
            <w:pPr>
              <w:pStyle w:val="NoSpacing"/>
              <w:jc w:val="both"/>
            </w:pPr>
            <w:r>
              <w:t xml:space="preserve">9 </w:t>
            </w:r>
            <w:proofErr w:type="gramStart"/>
            <w:r>
              <w:t>quadrant</w:t>
            </w:r>
            <w:proofErr w:type="gramEnd"/>
            <w:r>
              <w:t xml:space="preserve"> with continuous zoom up to 64x</w:t>
            </w:r>
            <w:r w:rsidR="00021243">
              <w:t xml:space="preserve"> or similar</w:t>
            </w:r>
          </w:p>
        </w:tc>
      </w:tr>
      <w:tr w:rsidR="008F2237" w14:paraId="52B5CB44" w14:textId="77777777" w:rsidTr="00504B36">
        <w:tc>
          <w:tcPr>
            <w:tcW w:w="4140" w:type="dxa"/>
            <w:vAlign w:val="center"/>
          </w:tcPr>
          <w:p w14:paraId="2DA2022F" w14:textId="77777777" w:rsidR="008F2237" w:rsidRPr="008F2237" w:rsidRDefault="00C668EF" w:rsidP="00C668EF">
            <w:pPr>
              <w:pStyle w:val="NoSpacing"/>
              <w:jc w:val="center"/>
              <w:rPr>
                <w:rFonts w:cstheme="minorHAnsi"/>
                <w:lang w:val="en-PH"/>
              </w:rPr>
            </w:pPr>
            <w:r>
              <w:rPr>
                <w:rFonts w:cstheme="minorHAnsi"/>
                <w:lang w:val="en-PH"/>
              </w:rPr>
              <w:t>User log-in</w:t>
            </w:r>
          </w:p>
        </w:tc>
        <w:tc>
          <w:tcPr>
            <w:tcW w:w="5220" w:type="dxa"/>
          </w:tcPr>
          <w:p w14:paraId="3B3A9D6A" w14:textId="6D4FC397" w:rsidR="008F2237" w:rsidRPr="008F2237" w:rsidRDefault="00C668EF" w:rsidP="00934808">
            <w:pPr>
              <w:pStyle w:val="NoSpacing"/>
              <w:jc w:val="both"/>
              <w:rPr>
                <w:rFonts w:cstheme="minorHAnsi"/>
                <w:lang w:val="en-PH"/>
              </w:rPr>
            </w:pPr>
            <w:r>
              <w:rPr>
                <w:rFonts w:cstheme="minorHAnsi"/>
                <w:lang w:val="en-PH"/>
              </w:rPr>
              <w:t xml:space="preserve">Individual user log-in credentials to be provided to each authorized </w:t>
            </w:r>
            <w:proofErr w:type="gramStart"/>
            <w:r>
              <w:rPr>
                <w:rFonts w:cstheme="minorHAnsi"/>
                <w:lang w:val="en-PH"/>
              </w:rPr>
              <w:t>users</w:t>
            </w:r>
            <w:proofErr w:type="gramEnd"/>
            <w:r w:rsidR="00021243">
              <w:rPr>
                <w:rFonts w:cstheme="minorHAnsi"/>
                <w:lang w:val="en-PH"/>
              </w:rPr>
              <w:t xml:space="preserve"> </w:t>
            </w:r>
          </w:p>
        </w:tc>
      </w:tr>
      <w:tr w:rsidR="00F62B45" w14:paraId="4ECF5E5B" w14:textId="77777777" w:rsidTr="00504B36">
        <w:tc>
          <w:tcPr>
            <w:tcW w:w="4140" w:type="dxa"/>
            <w:vAlign w:val="center"/>
          </w:tcPr>
          <w:p w14:paraId="2343CECA" w14:textId="77777777" w:rsidR="00F62B45" w:rsidRDefault="00F62B45" w:rsidP="00C668EF">
            <w:pPr>
              <w:pStyle w:val="NoSpacing"/>
              <w:jc w:val="center"/>
              <w:rPr>
                <w:rFonts w:cstheme="minorHAnsi"/>
                <w:lang w:val="en-PH"/>
              </w:rPr>
            </w:pPr>
            <w:r>
              <w:rPr>
                <w:rFonts w:cstheme="minorHAnsi"/>
                <w:lang w:val="en-PH"/>
              </w:rPr>
              <w:t>Operating System</w:t>
            </w:r>
          </w:p>
        </w:tc>
        <w:tc>
          <w:tcPr>
            <w:tcW w:w="5220" w:type="dxa"/>
          </w:tcPr>
          <w:p w14:paraId="7B60E21D" w14:textId="77777777" w:rsidR="00F62B45" w:rsidRDefault="00F62B45" w:rsidP="00934808">
            <w:pPr>
              <w:pStyle w:val="NoSpacing"/>
              <w:jc w:val="both"/>
              <w:rPr>
                <w:rFonts w:cstheme="minorHAnsi"/>
                <w:lang w:val="en-PH"/>
              </w:rPr>
            </w:pPr>
            <w:r>
              <w:rPr>
                <w:rFonts w:cstheme="minorHAnsi"/>
                <w:lang w:val="en-PH"/>
              </w:rPr>
              <w:t>Windows operating system with real-time diagnostics</w:t>
            </w:r>
          </w:p>
        </w:tc>
      </w:tr>
      <w:tr w:rsidR="008F2237" w14:paraId="4CD65407" w14:textId="77777777" w:rsidTr="00504B36">
        <w:tc>
          <w:tcPr>
            <w:tcW w:w="4140" w:type="dxa"/>
            <w:vAlign w:val="center"/>
          </w:tcPr>
          <w:p w14:paraId="0463B196" w14:textId="77777777" w:rsidR="008F2237" w:rsidRPr="008F2237" w:rsidRDefault="00C668EF" w:rsidP="00C668EF">
            <w:pPr>
              <w:pStyle w:val="NoSpacing"/>
              <w:jc w:val="center"/>
              <w:rPr>
                <w:rFonts w:cstheme="minorHAnsi"/>
                <w:lang w:val="en-PH"/>
              </w:rPr>
            </w:pPr>
            <w:r>
              <w:rPr>
                <w:rFonts w:cstheme="minorHAnsi"/>
                <w:lang w:val="en-PH"/>
              </w:rPr>
              <w:t>Pre-use training</w:t>
            </w:r>
          </w:p>
        </w:tc>
        <w:tc>
          <w:tcPr>
            <w:tcW w:w="5220" w:type="dxa"/>
          </w:tcPr>
          <w:p w14:paraId="7FA089E0" w14:textId="77777777" w:rsidR="008F2237" w:rsidRPr="008F2237" w:rsidRDefault="00C668EF" w:rsidP="00934808">
            <w:pPr>
              <w:pStyle w:val="NoSpacing"/>
              <w:jc w:val="both"/>
              <w:rPr>
                <w:rFonts w:cstheme="minorHAnsi"/>
                <w:lang w:val="en-PH"/>
              </w:rPr>
            </w:pPr>
            <w:r>
              <w:rPr>
                <w:rFonts w:cstheme="minorHAnsi"/>
                <w:lang w:val="en-PH"/>
              </w:rPr>
              <w:t>Standard user’s training to be conducted for device operators</w:t>
            </w:r>
          </w:p>
        </w:tc>
      </w:tr>
      <w:tr w:rsidR="008F2237" w14:paraId="14204F7E" w14:textId="77777777" w:rsidTr="00504B36">
        <w:tc>
          <w:tcPr>
            <w:tcW w:w="4140" w:type="dxa"/>
            <w:vAlign w:val="center"/>
          </w:tcPr>
          <w:p w14:paraId="556281E9" w14:textId="77777777" w:rsidR="008F2237" w:rsidRPr="008F2237" w:rsidRDefault="00C80C1D" w:rsidP="00C668EF">
            <w:pPr>
              <w:pStyle w:val="NoSpacing"/>
              <w:jc w:val="center"/>
              <w:rPr>
                <w:rFonts w:cstheme="minorHAnsi"/>
                <w:lang w:val="en-PH"/>
              </w:rPr>
            </w:pPr>
            <w:r>
              <w:rPr>
                <w:rFonts w:cstheme="minorHAnsi"/>
                <w:lang w:val="en-PH"/>
              </w:rPr>
              <w:t xml:space="preserve">Monitor </w:t>
            </w:r>
            <w:r w:rsidR="00F62B45">
              <w:rPr>
                <w:rFonts w:cstheme="minorHAnsi"/>
                <w:lang w:val="en-PH"/>
              </w:rPr>
              <w:t>and onboard computer</w:t>
            </w:r>
          </w:p>
        </w:tc>
        <w:tc>
          <w:tcPr>
            <w:tcW w:w="5220" w:type="dxa"/>
          </w:tcPr>
          <w:p w14:paraId="3F1E9AAA" w14:textId="596FBC73" w:rsidR="00F62B45" w:rsidRPr="008F2237" w:rsidRDefault="00F62B45" w:rsidP="00F62B45">
            <w:pPr>
              <w:pStyle w:val="NoSpacing"/>
              <w:jc w:val="both"/>
              <w:rPr>
                <w:rFonts w:cstheme="minorHAnsi"/>
                <w:lang w:val="en-PH"/>
              </w:rPr>
            </w:pPr>
            <w:r>
              <w:rPr>
                <w:rFonts w:cstheme="minorHAnsi"/>
                <w:lang w:val="en-PH"/>
              </w:rPr>
              <w:t xml:space="preserve">No less than 19’’ monitor screen; </w:t>
            </w:r>
            <w:r w:rsidRPr="00F62B45">
              <w:rPr>
                <w:lang w:val="en-PH" w:eastAsia="en-PH"/>
              </w:rPr>
              <w:t>Display Resolution:</w:t>
            </w:r>
            <w:r>
              <w:rPr>
                <w:lang w:val="en-PH" w:eastAsia="en-PH"/>
              </w:rPr>
              <w:t xml:space="preserve"> 1280 x 1024; 24 Bit/Pixel Color; </w:t>
            </w:r>
            <w:r w:rsidRPr="00F62B45">
              <w:rPr>
                <w:lang w:val="en-PH" w:eastAsia="en-PH"/>
              </w:rPr>
              <w:t>4 GB RAM</w:t>
            </w:r>
            <w:r>
              <w:rPr>
                <w:lang w:val="en-PH" w:eastAsia="en-PH"/>
              </w:rPr>
              <w:t xml:space="preserve"> memory; </w:t>
            </w:r>
            <w:r w:rsidRPr="00F62B45">
              <w:rPr>
                <w:lang w:val="en-PH" w:eastAsia="en-PH"/>
              </w:rPr>
              <w:t>Storage Capacity: 1 TB HDD, 240 GB SSD</w:t>
            </w:r>
            <w:r w:rsidR="007805A0">
              <w:rPr>
                <w:lang w:val="en-PH" w:eastAsia="en-PH"/>
              </w:rPr>
              <w:t xml:space="preserve"> or similar</w:t>
            </w:r>
          </w:p>
        </w:tc>
      </w:tr>
      <w:tr w:rsidR="00F62B45" w14:paraId="2DA27A5B" w14:textId="77777777" w:rsidTr="00504B36">
        <w:tc>
          <w:tcPr>
            <w:tcW w:w="4140" w:type="dxa"/>
            <w:vAlign w:val="center"/>
          </w:tcPr>
          <w:p w14:paraId="36963F2F" w14:textId="77777777" w:rsidR="00F62B45" w:rsidRDefault="00F62B45" w:rsidP="00C668EF">
            <w:pPr>
              <w:pStyle w:val="NoSpacing"/>
              <w:jc w:val="center"/>
              <w:rPr>
                <w:rFonts w:cstheme="minorHAnsi"/>
                <w:lang w:val="en-PH"/>
              </w:rPr>
            </w:pPr>
            <w:r>
              <w:rPr>
                <w:rFonts w:cstheme="minorHAnsi"/>
                <w:lang w:val="en-PH"/>
              </w:rPr>
              <w:t>Mobility kit</w:t>
            </w:r>
          </w:p>
        </w:tc>
        <w:tc>
          <w:tcPr>
            <w:tcW w:w="5220" w:type="dxa"/>
          </w:tcPr>
          <w:p w14:paraId="3D02C092" w14:textId="77777777" w:rsidR="00F62B45" w:rsidRDefault="00F62B45" w:rsidP="00934808">
            <w:pPr>
              <w:pStyle w:val="NoSpacing"/>
              <w:jc w:val="both"/>
              <w:rPr>
                <w:rFonts w:cstheme="minorHAnsi"/>
                <w:lang w:val="en-PH"/>
              </w:rPr>
            </w:pPr>
            <w:r>
              <w:rPr>
                <w:rFonts w:cstheme="minorHAnsi"/>
                <w:lang w:val="en-PH"/>
              </w:rPr>
              <w:t>Present to allow easy transfer location and transport</w:t>
            </w:r>
          </w:p>
        </w:tc>
      </w:tr>
      <w:tr w:rsidR="00F62B45" w14:paraId="66B63893" w14:textId="77777777" w:rsidTr="00504B36">
        <w:tc>
          <w:tcPr>
            <w:tcW w:w="4140" w:type="dxa"/>
            <w:vAlign w:val="center"/>
          </w:tcPr>
          <w:p w14:paraId="4D3CBC51" w14:textId="77777777" w:rsidR="00F62B45" w:rsidRDefault="00F62B45" w:rsidP="00C668EF">
            <w:pPr>
              <w:pStyle w:val="NoSpacing"/>
              <w:jc w:val="center"/>
              <w:rPr>
                <w:rFonts w:cstheme="minorHAnsi"/>
                <w:lang w:val="en-PH"/>
              </w:rPr>
            </w:pPr>
            <w:r>
              <w:rPr>
                <w:rFonts w:cstheme="minorHAnsi"/>
                <w:lang w:val="en-PH"/>
              </w:rPr>
              <w:t>Roller tables</w:t>
            </w:r>
          </w:p>
        </w:tc>
        <w:tc>
          <w:tcPr>
            <w:tcW w:w="5220" w:type="dxa"/>
          </w:tcPr>
          <w:p w14:paraId="2E113F4D" w14:textId="77777777" w:rsidR="00F62B45" w:rsidRDefault="00F62B45" w:rsidP="00934808">
            <w:pPr>
              <w:pStyle w:val="NoSpacing"/>
              <w:jc w:val="both"/>
              <w:rPr>
                <w:rFonts w:cstheme="minorHAnsi"/>
                <w:lang w:val="en-PH"/>
              </w:rPr>
            </w:pPr>
            <w:r>
              <w:rPr>
                <w:rFonts w:cstheme="minorHAnsi"/>
                <w:lang w:val="en-PH"/>
              </w:rPr>
              <w:t xml:space="preserve">Detachable </w:t>
            </w:r>
          </w:p>
        </w:tc>
      </w:tr>
      <w:tr w:rsidR="00F62B45" w14:paraId="69DB9736" w14:textId="77777777" w:rsidTr="00504B36">
        <w:tc>
          <w:tcPr>
            <w:tcW w:w="4140" w:type="dxa"/>
            <w:vAlign w:val="center"/>
          </w:tcPr>
          <w:p w14:paraId="77A543CE" w14:textId="77777777" w:rsidR="00F62B45" w:rsidRDefault="00F62B45" w:rsidP="00C668EF">
            <w:pPr>
              <w:pStyle w:val="NoSpacing"/>
              <w:jc w:val="center"/>
              <w:rPr>
                <w:rFonts w:cstheme="minorHAnsi"/>
                <w:lang w:val="en-PH"/>
              </w:rPr>
            </w:pPr>
            <w:r>
              <w:rPr>
                <w:rFonts w:cstheme="minorHAnsi"/>
                <w:lang w:val="en-PH"/>
              </w:rPr>
              <w:t>UPS</w:t>
            </w:r>
          </w:p>
        </w:tc>
        <w:tc>
          <w:tcPr>
            <w:tcW w:w="5220" w:type="dxa"/>
          </w:tcPr>
          <w:p w14:paraId="1A271EF7" w14:textId="77777777" w:rsidR="00F62B45" w:rsidRDefault="00F62B45" w:rsidP="00934808">
            <w:pPr>
              <w:pStyle w:val="NoSpacing"/>
              <w:jc w:val="both"/>
              <w:rPr>
                <w:rFonts w:cstheme="minorHAnsi"/>
                <w:lang w:val="en-PH"/>
              </w:rPr>
            </w:pPr>
            <w:r>
              <w:rPr>
                <w:rFonts w:cstheme="minorHAnsi"/>
                <w:lang w:val="en-PH"/>
              </w:rPr>
              <w:t xml:space="preserve">Present </w:t>
            </w:r>
          </w:p>
        </w:tc>
      </w:tr>
      <w:tr w:rsidR="00F62B45" w14:paraId="011EA56B" w14:textId="77777777" w:rsidTr="00504B36">
        <w:tc>
          <w:tcPr>
            <w:tcW w:w="4140" w:type="dxa"/>
            <w:vAlign w:val="center"/>
          </w:tcPr>
          <w:p w14:paraId="2844D646" w14:textId="77777777" w:rsidR="00F62B45" w:rsidRDefault="00CD5788" w:rsidP="00C668EF">
            <w:pPr>
              <w:pStyle w:val="NoSpacing"/>
              <w:jc w:val="center"/>
              <w:rPr>
                <w:rFonts w:cstheme="minorHAnsi"/>
                <w:lang w:val="en-PH"/>
              </w:rPr>
            </w:pPr>
            <w:r>
              <w:rPr>
                <w:rFonts w:cstheme="minorHAnsi"/>
                <w:lang w:val="en-PH"/>
              </w:rPr>
              <w:t>Environmental</w:t>
            </w:r>
          </w:p>
        </w:tc>
        <w:tc>
          <w:tcPr>
            <w:tcW w:w="5220" w:type="dxa"/>
          </w:tcPr>
          <w:p w14:paraId="73DD053B" w14:textId="1D6603B8" w:rsidR="00F62B45" w:rsidRDefault="00C80C1D" w:rsidP="00C80C1D">
            <w:pPr>
              <w:pStyle w:val="NoSpacing"/>
              <w:jc w:val="both"/>
              <w:rPr>
                <w:rFonts w:cstheme="minorHAnsi"/>
                <w:lang w:val="en-PH"/>
              </w:rPr>
            </w:pPr>
            <w:r>
              <w:rPr>
                <w:lang w:val="en-PH" w:eastAsia="en-PH"/>
              </w:rPr>
              <w:t>Humidity: Up To 95% n</w:t>
            </w:r>
            <w:r w:rsidR="00CD5788" w:rsidRPr="00CD5788">
              <w:rPr>
                <w:lang w:val="en-PH" w:eastAsia="en-PH"/>
              </w:rPr>
              <w:t>on-</w:t>
            </w:r>
            <w:r>
              <w:rPr>
                <w:lang w:val="en-PH" w:eastAsia="en-PH"/>
              </w:rPr>
              <w:t>c</w:t>
            </w:r>
            <w:r w:rsidR="00CD5788" w:rsidRPr="00CD5788">
              <w:rPr>
                <w:lang w:val="en-PH" w:eastAsia="en-PH"/>
              </w:rPr>
              <w:t>ondensing</w:t>
            </w:r>
            <w:r w:rsidR="00CD5788">
              <w:rPr>
                <w:lang w:val="en-PH" w:eastAsia="en-PH"/>
              </w:rPr>
              <w:t>, capable of operating in outdoor or semi-outdoor environment suitable to</w:t>
            </w:r>
            <w:r>
              <w:rPr>
                <w:lang w:val="en-PH" w:eastAsia="en-PH"/>
              </w:rPr>
              <w:t xml:space="preserve"> the</w:t>
            </w:r>
            <w:r w:rsidR="00CD5788">
              <w:rPr>
                <w:lang w:val="en-PH" w:eastAsia="en-PH"/>
              </w:rPr>
              <w:t xml:space="preserve"> local climatic and environmental factors</w:t>
            </w:r>
            <w:r w:rsidR="00363832">
              <w:rPr>
                <w:lang w:val="en-PH" w:eastAsia="en-PH"/>
              </w:rPr>
              <w:t xml:space="preserve"> or </w:t>
            </w:r>
            <w:r w:rsidR="003325B8">
              <w:rPr>
                <w:lang w:val="en-PH" w:eastAsia="en-PH"/>
              </w:rPr>
              <w:t>similar</w:t>
            </w:r>
          </w:p>
        </w:tc>
      </w:tr>
      <w:tr w:rsidR="00CD5788" w14:paraId="626C7915" w14:textId="77777777" w:rsidTr="00504B36">
        <w:tc>
          <w:tcPr>
            <w:tcW w:w="4140" w:type="dxa"/>
            <w:vAlign w:val="center"/>
          </w:tcPr>
          <w:p w14:paraId="0FBCAC73" w14:textId="77777777" w:rsidR="00CD5788" w:rsidRDefault="00CD5788" w:rsidP="00C668EF">
            <w:pPr>
              <w:pStyle w:val="NoSpacing"/>
              <w:jc w:val="center"/>
              <w:rPr>
                <w:rFonts w:cstheme="minorHAnsi"/>
                <w:lang w:val="en-PH"/>
              </w:rPr>
            </w:pPr>
            <w:r>
              <w:rPr>
                <w:rFonts w:cstheme="minorHAnsi"/>
                <w:lang w:val="en-PH"/>
              </w:rPr>
              <w:t>Health and safety</w:t>
            </w:r>
          </w:p>
        </w:tc>
        <w:tc>
          <w:tcPr>
            <w:tcW w:w="5220" w:type="dxa"/>
          </w:tcPr>
          <w:p w14:paraId="5430828E" w14:textId="77777777" w:rsidR="00CD5788" w:rsidRPr="00CD5788" w:rsidRDefault="00CD5788" w:rsidP="00CD5788">
            <w:pPr>
              <w:pStyle w:val="NoSpacing"/>
              <w:rPr>
                <w:lang w:val="en-PH" w:eastAsia="en-PH"/>
              </w:rPr>
            </w:pPr>
            <w:r w:rsidRPr="00CD5788">
              <w:rPr>
                <w:lang w:val="en-PH" w:eastAsia="en-PH"/>
              </w:rPr>
              <w:t>Compliant with USFDA Center for Devices and Radiation Health Standards for Cabinet X-Ray Systems (21-CFR 1020.40)</w:t>
            </w:r>
          </w:p>
          <w:p w14:paraId="640D7190" w14:textId="2986CBF1" w:rsidR="00CD5788" w:rsidRPr="00CD5788" w:rsidRDefault="00CD5788" w:rsidP="00CD5788">
            <w:pPr>
              <w:pStyle w:val="NoSpacing"/>
              <w:rPr>
                <w:lang w:val="en-PH" w:eastAsia="en-PH"/>
              </w:rPr>
            </w:pPr>
            <w:r w:rsidRPr="00CD5788">
              <w:rPr>
                <w:lang w:val="en-PH" w:eastAsia="en-PH"/>
              </w:rPr>
              <w:t xml:space="preserve">Typical radiation leakage is less than 0.1 </w:t>
            </w:r>
            <w:proofErr w:type="spellStart"/>
            <w:r w:rsidRPr="00CD5788">
              <w:rPr>
                <w:lang w:val="en-PH" w:eastAsia="en-PH"/>
              </w:rPr>
              <w:t>mR</w:t>
            </w:r>
            <w:proofErr w:type="spellEnd"/>
            <w:r w:rsidRPr="00CD5788">
              <w:rPr>
                <w:lang w:val="en-PH" w:eastAsia="en-PH"/>
              </w:rPr>
              <w:t>/</w:t>
            </w:r>
            <w:proofErr w:type="spellStart"/>
            <w:r w:rsidRPr="00CD5788">
              <w:rPr>
                <w:lang w:val="en-PH" w:eastAsia="en-PH"/>
              </w:rPr>
              <w:t>hr</w:t>
            </w:r>
            <w:proofErr w:type="spellEnd"/>
            <w:r w:rsidRPr="00CD5788">
              <w:rPr>
                <w:lang w:val="en-PH" w:eastAsia="en-PH"/>
              </w:rPr>
              <w:t xml:space="preserve"> (Leakage less than 0.5 </w:t>
            </w:r>
            <w:proofErr w:type="spellStart"/>
            <w:r w:rsidRPr="00CD5788">
              <w:rPr>
                <w:lang w:val="en-PH" w:eastAsia="en-PH"/>
              </w:rPr>
              <w:t>mR</w:t>
            </w:r>
            <w:proofErr w:type="spellEnd"/>
            <w:r w:rsidRPr="00CD5788">
              <w:rPr>
                <w:lang w:val="en-PH" w:eastAsia="en-PH"/>
              </w:rPr>
              <w:t>/</w:t>
            </w:r>
            <w:proofErr w:type="spellStart"/>
            <w:r w:rsidRPr="00CD5788">
              <w:rPr>
                <w:lang w:val="en-PH" w:eastAsia="en-PH"/>
              </w:rPr>
              <w:t>hr</w:t>
            </w:r>
            <w:proofErr w:type="spellEnd"/>
            <w:r w:rsidRPr="00CD5788">
              <w:rPr>
                <w:lang w:val="en-PH" w:eastAsia="en-PH"/>
              </w:rPr>
              <w:t xml:space="preserve"> permitted by U.S. Federal Standards)</w:t>
            </w:r>
            <w:r w:rsidR="003325B8">
              <w:rPr>
                <w:lang w:val="en-PH" w:eastAsia="en-PH"/>
              </w:rPr>
              <w:t xml:space="preserve"> or similar</w:t>
            </w:r>
          </w:p>
          <w:p w14:paraId="72CAA017" w14:textId="3A89EE80" w:rsidR="003325B8" w:rsidRPr="00CD5788" w:rsidRDefault="00CD5788" w:rsidP="00CD5788">
            <w:pPr>
              <w:pStyle w:val="NoSpacing"/>
              <w:rPr>
                <w:lang w:val="en-PH" w:eastAsia="en-PH"/>
              </w:rPr>
            </w:pPr>
            <w:r w:rsidRPr="00CD5788">
              <w:rPr>
                <w:lang w:val="en-PH" w:eastAsia="en-PH"/>
              </w:rPr>
              <w:t>TSA Certified, DFT Compliant</w:t>
            </w:r>
            <w:r w:rsidR="003325B8">
              <w:rPr>
                <w:lang w:val="en-PH" w:eastAsia="en-PH"/>
              </w:rPr>
              <w:t xml:space="preserve">, or </w:t>
            </w:r>
            <w:proofErr w:type="spellStart"/>
            <w:r w:rsidR="003325B8">
              <w:rPr>
                <w:lang w:val="en-PH" w:eastAsia="en-PH"/>
              </w:rPr>
              <w:t>simiiar</w:t>
            </w:r>
            <w:proofErr w:type="spellEnd"/>
          </w:p>
        </w:tc>
      </w:tr>
      <w:tr w:rsidR="00CD5788" w14:paraId="2194B57F" w14:textId="77777777" w:rsidTr="00504B36">
        <w:tc>
          <w:tcPr>
            <w:tcW w:w="4140" w:type="dxa"/>
            <w:vAlign w:val="center"/>
          </w:tcPr>
          <w:p w14:paraId="766DF5AA" w14:textId="77777777" w:rsidR="00CD5788" w:rsidRDefault="00CD5788" w:rsidP="00C668EF">
            <w:pPr>
              <w:pStyle w:val="NoSpacing"/>
              <w:jc w:val="center"/>
              <w:rPr>
                <w:rFonts w:cstheme="minorHAnsi"/>
                <w:lang w:val="en-PH"/>
              </w:rPr>
            </w:pPr>
            <w:r>
              <w:rPr>
                <w:rFonts w:cstheme="minorHAnsi"/>
                <w:lang w:val="en-PH"/>
              </w:rPr>
              <w:t>Warranty</w:t>
            </w:r>
          </w:p>
        </w:tc>
        <w:tc>
          <w:tcPr>
            <w:tcW w:w="5220" w:type="dxa"/>
          </w:tcPr>
          <w:p w14:paraId="73766F32" w14:textId="77777777" w:rsidR="00CD5788" w:rsidRPr="00CD5788" w:rsidRDefault="00CD5788" w:rsidP="00CD5788">
            <w:pPr>
              <w:pStyle w:val="NoSpacing"/>
              <w:jc w:val="both"/>
              <w:rPr>
                <w:lang w:val="en-PH" w:eastAsia="en-PH"/>
              </w:rPr>
            </w:pPr>
            <w:r>
              <w:rPr>
                <w:lang w:val="en-PH" w:eastAsia="en-PH"/>
              </w:rPr>
              <w:t xml:space="preserve">12-months warranty on parts, </w:t>
            </w:r>
            <w:r w:rsidR="00705BA8">
              <w:rPr>
                <w:lang w:val="en-PH" w:eastAsia="en-PH"/>
              </w:rPr>
              <w:t xml:space="preserve">routine maintenance, </w:t>
            </w:r>
            <w:r>
              <w:rPr>
                <w:lang w:val="en-PH" w:eastAsia="en-PH"/>
              </w:rPr>
              <w:t xml:space="preserve">repair, </w:t>
            </w:r>
            <w:proofErr w:type="gramStart"/>
            <w:r>
              <w:rPr>
                <w:lang w:val="en-PH" w:eastAsia="en-PH"/>
              </w:rPr>
              <w:t>labor</w:t>
            </w:r>
            <w:proofErr w:type="gramEnd"/>
            <w:r>
              <w:rPr>
                <w:lang w:val="en-PH" w:eastAsia="en-PH"/>
              </w:rPr>
              <w:t xml:space="preserve"> and transport</w:t>
            </w:r>
            <w:r w:rsidR="00C80C1D">
              <w:rPr>
                <w:lang w:val="en-PH" w:eastAsia="en-PH"/>
              </w:rPr>
              <w:t>ation</w:t>
            </w:r>
            <w:r>
              <w:rPr>
                <w:lang w:val="en-PH" w:eastAsia="en-PH"/>
              </w:rPr>
              <w:t>.</w:t>
            </w:r>
          </w:p>
        </w:tc>
      </w:tr>
      <w:tr w:rsidR="00705BA8" w14:paraId="5D82A0E5" w14:textId="77777777" w:rsidTr="00504B36">
        <w:tc>
          <w:tcPr>
            <w:tcW w:w="4140" w:type="dxa"/>
            <w:vAlign w:val="center"/>
          </w:tcPr>
          <w:p w14:paraId="61038501" w14:textId="77777777" w:rsidR="00705BA8" w:rsidRDefault="00705BA8" w:rsidP="00C668EF">
            <w:pPr>
              <w:pStyle w:val="NoSpacing"/>
              <w:jc w:val="center"/>
              <w:rPr>
                <w:rFonts w:cstheme="minorHAnsi"/>
                <w:lang w:val="en-PH"/>
              </w:rPr>
            </w:pPr>
            <w:r>
              <w:rPr>
                <w:rFonts w:cstheme="minorHAnsi"/>
                <w:lang w:val="en-PH"/>
              </w:rPr>
              <w:t>Certification</w:t>
            </w:r>
          </w:p>
        </w:tc>
        <w:tc>
          <w:tcPr>
            <w:tcW w:w="5220" w:type="dxa"/>
          </w:tcPr>
          <w:p w14:paraId="5F125639" w14:textId="77777777" w:rsidR="00705BA8" w:rsidRDefault="00705BA8" w:rsidP="00705BA8">
            <w:pPr>
              <w:pStyle w:val="NoSpacing"/>
              <w:jc w:val="both"/>
              <w:rPr>
                <w:lang w:val="en-PH" w:eastAsia="en-PH"/>
              </w:rPr>
            </w:pPr>
            <w:r>
              <w:t>Offer MUST be enclosed certificate of having at least two factory trained engineers for above products; Offers MUST include copy of manufacturer authorization certificate documents. Offers MUST include manufacturer original catalog of offered machine &amp; ISO certificate</w:t>
            </w:r>
          </w:p>
        </w:tc>
      </w:tr>
      <w:tr w:rsidR="007230CB" w14:paraId="798CE3F2" w14:textId="77777777" w:rsidTr="00504B36">
        <w:tc>
          <w:tcPr>
            <w:tcW w:w="4140" w:type="dxa"/>
            <w:vAlign w:val="center"/>
          </w:tcPr>
          <w:p w14:paraId="77636960" w14:textId="77777777" w:rsidR="007230CB" w:rsidRDefault="007230CB" w:rsidP="00C668EF">
            <w:pPr>
              <w:pStyle w:val="NoSpacing"/>
              <w:jc w:val="center"/>
              <w:rPr>
                <w:rFonts w:cstheme="minorHAnsi"/>
                <w:lang w:val="en-PH"/>
              </w:rPr>
            </w:pPr>
            <w:r>
              <w:rPr>
                <w:rFonts w:cstheme="minorHAnsi"/>
                <w:lang w:val="en-PH"/>
              </w:rPr>
              <w:t>Installation</w:t>
            </w:r>
          </w:p>
        </w:tc>
        <w:tc>
          <w:tcPr>
            <w:tcW w:w="5220" w:type="dxa"/>
          </w:tcPr>
          <w:p w14:paraId="3BCE6F34" w14:textId="77777777" w:rsidR="007230CB" w:rsidRDefault="007230CB" w:rsidP="00705BA8">
            <w:pPr>
              <w:pStyle w:val="NoSpacing"/>
              <w:jc w:val="both"/>
            </w:pPr>
          </w:p>
        </w:tc>
      </w:tr>
    </w:tbl>
    <w:p w14:paraId="2D11B4C0" w14:textId="77777777" w:rsidR="00504B36" w:rsidRDefault="00504B36" w:rsidP="00934808">
      <w:pPr>
        <w:pStyle w:val="NoSpacing"/>
        <w:jc w:val="both"/>
        <w:rPr>
          <w:rFonts w:cstheme="minorHAnsi"/>
          <w:b/>
          <w:lang w:val="en-PH"/>
        </w:rPr>
      </w:pPr>
    </w:p>
    <w:p w14:paraId="63EC3476" w14:textId="77777777" w:rsidR="007230CB" w:rsidRDefault="00E40C7A" w:rsidP="00934808">
      <w:pPr>
        <w:pStyle w:val="NoSpacing"/>
        <w:jc w:val="both"/>
        <w:rPr>
          <w:rFonts w:cstheme="minorHAnsi"/>
          <w:b/>
          <w:lang w:val="en-PH"/>
        </w:rPr>
      </w:pPr>
      <w:r>
        <w:rPr>
          <w:rFonts w:cstheme="minorHAnsi"/>
          <w:b/>
          <w:lang w:val="en-PH"/>
        </w:rPr>
        <w:t>V.</w:t>
      </w:r>
      <w:r w:rsidR="007230CB">
        <w:rPr>
          <w:rFonts w:cstheme="minorHAnsi"/>
          <w:b/>
          <w:lang w:val="en-PH"/>
        </w:rPr>
        <w:tab/>
        <w:t>Other conditions</w:t>
      </w:r>
      <w:r>
        <w:rPr>
          <w:rFonts w:cstheme="minorHAnsi"/>
          <w:b/>
          <w:lang w:val="en-PH"/>
        </w:rPr>
        <w:tab/>
        <w:t xml:space="preserve"> </w:t>
      </w:r>
    </w:p>
    <w:p w14:paraId="77A585BB" w14:textId="77777777" w:rsidR="007230CB" w:rsidRDefault="007230CB" w:rsidP="00934808">
      <w:pPr>
        <w:pStyle w:val="NoSpacing"/>
        <w:jc w:val="both"/>
        <w:rPr>
          <w:rFonts w:cstheme="minorHAnsi"/>
          <w:b/>
          <w:lang w:val="en-PH"/>
        </w:rPr>
      </w:pPr>
    </w:p>
    <w:p w14:paraId="2408423C" w14:textId="77777777" w:rsidR="007230CB" w:rsidRDefault="007230CB" w:rsidP="007230CB">
      <w:pPr>
        <w:pStyle w:val="NoSpacing"/>
        <w:numPr>
          <w:ilvl w:val="0"/>
          <w:numId w:val="10"/>
        </w:numPr>
        <w:jc w:val="both"/>
      </w:pPr>
      <w:r>
        <w:t>All h</w:t>
      </w:r>
      <w:r w:rsidRPr="00DD6905">
        <w:t>ardware</w:t>
      </w:r>
      <w:r>
        <w:t>, parts and accessories</w:t>
      </w:r>
      <w:r w:rsidRPr="00DD6905">
        <w:t xml:space="preserve"> </w:t>
      </w:r>
      <w:r>
        <w:t xml:space="preserve">provided </w:t>
      </w:r>
      <w:r w:rsidRPr="00DD6905">
        <w:t xml:space="preserve">by the </w:t>
      </w:r>
      <w:r>
        <w:t>supplier or service provider</w:t>
      </w:r>
      <w:r w:rsidRPr="00DD6905">
        <w:t xml:space="preserve"> including parts must be new and unused. </w:t>
      </w:r>
    </w:p>
    <w:p w14:paraId="6BE1AF77" w14:textId="77777777" w:rsidR="007230CB" w:rsidRDefault="007230CB" w:rsidP="007230CB">
      <w:pPr>
        <w:pStyle w:val="NoSpacing"/>
        <w:ind w:left="720"/>
        <w:jc w:val="both"/>
      </w:pPr>
    </w:p>
    <w:p w14:paraId="4C1566DC" w14:textId="77777777" w:rsidR="007230CB" w:rsidRPr="00DD6905" w:rsidRDefault="007230CB" w:rsidP="007230CB">
      <w:pPr>
        <w:pStyle w:val="NoSpacing"/>
        <w:numPr>
          <w:ilvl w:val="0"/>
          <w:numId w:val="10"/>
        </w:numPr>
        <w:jc w:val="both"/>
      </w:pPr>
      <w:r w:rsidRPr="00DD6905">
        <w:lastRenderedPageBreak/>
        <w:t xml:space="preserve">The </w:t>
      </w:r>
      <w:r>
        <w:t>h</w:t>
      </w:r>
      <w:r w:rsidRPr="00DD6905">
        <w:t xml:space="preserve">ardware must: </w:t>
      </w:r>
      <w:r w:rsidRPr="00624351">
        <w:rPr>
          <w:i/>
        </w:rPr>
        <w:t>a)</w:t>
      </w:r>
      <w:r w:rsidRPr="00DD6905">
        <w:t xml:space="preserve"> be off-the-shelf, </w:t>
      </w:r>
      <w:r>
        <w:t xml:space="preserve">i.e. </w:t>
      </w:r>
      <w:r w:rsidRPr="00DD6905">
        <w:t xml:space="preserve">composed of standard equipment requiring no further research or development; </w:t>
      </w:r>
      <w:r w:rsidRPr="00624351">
        <w:rPr>
          <w:i/>
        </w:rPr>
        <w:t>b)</w:t>
      </w:r>
      <w:r w:rsidRPr="00DD6905">
        <w:t xml:space="preserve"> be </w:t>
      </w:r>
      <w:r>
        <w:t xml:space="preserve">easily available </w:t>
      </w:r>
      <w:r w:rsidRPr="00DD6905">
        <w:t>model that is still in production by the manufacturer at the time of delivery and the manufactu</w:t>
      </w:r>
      <w:r>
        <w:t>rer certifies a minimum five (5</w:t>
      </w:r>
      <w:r w:rsidRPr="00DD6905">
        <w:t>) year</w:t>
      </w:r>
      <w:r>
        <w:t xml:space="preserve"> </w:t>
      </w:r>
      <w:r w:rsidRPr="00DD6905">
        <w:t xml:space="preserve">future in the prudent life cycle at the time of the bid; and </w:t>
      </w:r>
      <w:r w:rsidRPr="00624351">
        <w:rPr>
          <w:i/>
        </w:rPr>
        <w:t>c)</w:t>
      </w:r>
      <w:r w:rsidRPr="00DD6905">
        <w:t xml:space="preserve"> conform to the version of the applicable specification or part number of the manufacturer in effect at the time of delivery.</w:t>
      </w:r>
    </w:p>
    <w:p w14:paraId="6C17DEDC" w14:textId="77777777" w:rsidR="007230CB" w:rsidRDefault="007230CB" w:rsidP="007230CB">
      <w:pPr>
        <w:pStyle w:val="NoSpacing"/>
        <w:jc w:val="both"/>
      </w:pPr>
    </w:p>
    <w:p w14:paraId="6ACD8F10" w14:textId="77777777" w:rsidR="007230CB" w:rsidRDefault="007230CB" w:rsidP="007230CB">
      <w:pPr>
        <w:pStyle w:val="NoSpacing"/>
        <w:numPr>
          <w:ilvl w:val="0"/>
          <w:numId w:val="10"/>
        </w:numPr>
        <w:jc w:val="both"/>
      </w:pPr>
      <w:r w:rsidRPr="004D32D2">
        <w:t xml:space="preserve">The </w:t>
      </w:r>
      <w:r>
        <w:t>s</w:t>
      </w:r>
      <w:r w:rsidRPr="004D32D2">
        <w:t xml:space="preserve">upplier must deliver, </w:t>
      </w:r>
      <w:proofErr w:type="gramStart"/>
      <w:r w:rsidRPr="004D32D2">
        <w:t>install</w:t>
      </w:r>
      <w:proofErr w:type="gramEnd"/>
      <w:r w:rsidRPr="004D32D2">
        <w:t xml:space="preserve"> and make the </w:t>
      </w:r>
      <w:r>
        <w:t xml:space="preserve">equipment </w:t>
      </w:r>
      <w:r w:rsidRPr="004D32D2">
        <w:t xml:space="preserve">fully functional to the location(s) designated by </w:t>
      </w:r>
      <w:r>
        <w:t xml:space="preserve">UNHCR Egypt </w:t>
      </w:r>
      <w:r w:rsidRPr="004D32D2">
        <w:t xml:space="preserve">no later than the </w:t>
      </w:r>
      <w:r>
        <w:t xml:space="preserve">agreed </w:t>
      </w:r>
      <w:r w:rsidRPr="004D32D2">
        <w:t xml:space="preserve">date specified on the Purchase Order. The </w:t>
      </w:r>
      <w:r>
        <w:t>s</w:t>
      </w:r>
      <w:r w:rsidRPr="004D32D2">
        <w:t xml:space="preserve">upplier must pay all costs associated with replacing any items damaged in transit to the final destination. The </w:t>
      </w:r>
      <w:r>
        <w:t>s</w:t>
      </w:r>
      <w:r w:rsidRPr="004D32D2">
        <w:t xml:space="preserve">upplier acknowledges that no item will be considered delivered no later than the date specified on the Purchase Order if it is damaged and not ready for </w:t>
      </w:r>
      <w:r>
        <w:t xml:space="preserve">UNHCR Egypt </w:t>
      </w:r>
      <w:r w:rsidRPr="004D32D2">
        <w:t xml:space="preserve">to begin its acceptance procedures. The </w:t>
      </w:r>
      <w:r>
        <w:t>s</w:t>
      </w:r>
      <w:r w:rsidRPr="004D32D2">
        <w:t>upplier must</w:t>
      </w:r>
      <w:r>
        <w:t xml:space="preserve"> </w:t>
      </w:r>
      <w:r w:rsidRPr="004D32D2">
        <w:t xml:space="preserve">package the </w:t>
      </w:r>
      <w:r>
        <w:t xml:space="preserve">equipment </w:t>
      </w:r>
      <w:r w:rsidRPr="004D32D2">
        <w:t xml:space="preserve">according to industry standards and include a packing slip </w:t>
      </w:r>
      <w:r>
        <w:t xml:space="preserve">and other requisite documentation </w:t>
      </w:r>
      <w:r w:rsidRPr="004D32D2">
        <w:t>with each shipment</w:t>
      </w:r>
      <w:r>
        <w:t>.</w:t>
      </w:r>
      <w:r w:rsidRPr="004D32D2">
        <w:t xml:space="preserve"> The </w:t>
      </w:r>
      <w:r>
        <w:t>s</w:t>
      </w:r>
      <w:r w:rsidRPr="004D32D2">
        <w:t xml:space="preserve">upplier must arrange for any rigging and drayage necessary to deliver the </w:t>
      </w:r>
      <w:r>
        <w:t>equipment</w:t>
      </w:r>
      <w:r w:rsidRPr="004D32D2">
        <w:t xml:space="preserve">. All costs associated with packaging, shipping, </w:t>
      </w:r>
      <w:proofErr w:type="gramStart"/>
      <w:r w:rsidRPr="004D32D2">
        <w:t>transportation</w:t>
      </w:r>
      <w:proofErr w:type="gramEnd"/>
      <w:r w:rsidRPr="004D32D2">
        <w:t xml:space="preserve"> and delivery are included in the price of the </w:t>
      </w:r>
      <w:r>
        <w:t>lease contract.</w:t>
      </w:r>
    </w:p>
    <w:p w14:paraId="6AF63D70" w14:textId="77777777" w:rsidR="007230CB" w:rsidRPr="004D32D2" w:rsidRDefault="007230CB" w:rsidP="007230CB">
      <w:pPr>
        <w:pStyle w:val="NoSpacing"/>
        <w:ind w:left="720"/>
        <w:jc w:val="both"/>
      </w:pPr>
    </w:p>
    <w:p w14:paraId="039FEFCC" w14:textId="590D2D9D" w:rsidR="007230CB" w:rsidRDefault="007230CB" w:rsidP="007230CB">
      <w:pPr>
        <w:pStyle w:val="NoSpacing"/>
        <w:numPr>
          <w:ilvl w:val="0"/>
          <w:numId w:val="10"/>
        </w:numPr>
        <w:jc w:val="both"/>
        <w:rPr>
          <w:rFonts w:cstheme="minorHAnsi"/>
          <w:lang w:val="en-PH"/>
        </w:rPr>
      </w:pPr>
      <w:r>
        <w:rPr>
          <w:rFonts w:cstheme="minorHAnsi"/>
          <w:lang w:val="en-PH"/>
        </w:rPr>
        <w:t xml:space="preserve">The supplier must prepare – in close consultation and with approval of UNHCR Egypt – the site where the equipment shall be installed including the appropriate cabling, harnessing, civil </w:t>
      </w:r>
      <w:proofErr w:type="gramStart"/>
      <w:r>
        <w:rPr>
          <w:rFonts w:cstheme="minorHAnsi"/>
          <w:lang w:val="en-PH"/>
        </w:rPr>
        <w:t>works</w:t>
      </w:r>
      <w:proofErr w:type="gramEnd"/>
      <w:r>
        <w:rPr>
          <w:rFonts w:cstheme="minorHAnsi"/>
          <w:lang w:val="en-PH"/>
        </w:rPr>
        <w:t xml:space="preserve"> and other pre-installation requirements necessary for the full functioning of the equipment. These site preparation works shall not interfere with the activities of UNHCR Egypt and be done with appropriate safety considerations in line with occupational health and safety standards.</w:t>
      </w:r>
    </w:p>
    <w:p w14:paraId="29BF0D33" w14:textId="77777777" w:rsidR="007230CB" w:rsidRDefault="007230CB" w:rsidP="007230CB">
      <w:pPr>
        <w:pStyle w:val="NoSpacing"/>
        <w:rPr>
          <w:lang w:val="en-PH"/>
        </w:rPr>
      </w:pPr>
    </w:p>
    <w:p w14:paraId="216A17D3" w14:textId="77777777" w:rsidR="007230CB" w:rsidRDefault="007230CB" w:rsidP="007230CB">
      <w:pPr>
        <w:pStyle w:val="NoSpacing"/>
        <w:numPr>
          <w:ilvl w:val="0"/>
          <w:numId w:val="10"/>
        </w:numPr>
        <w:jc w:val="both"/>
      </w:pPr>
      <w:r>
        <w:t xml:space="preserve">The supplier must provide all materials required to complete the assembly, installation, integration, interconnection, and configuration of the equipment in the location(s) specified in the contract including provision and setting-up of all the required connections to the power supply and any other necessary utilities, cables, as well as any other accessories or supplies. </w:t>
      </w:r>
    </w:p>
    <w:p w14:paraId="7E20B943" w14:textId="77777777" w:rsidR="007230CB" w:rsidRDefault="007230CB" w:rsidP="007230CB">
      <w:pPr>
        <w:pStyle w:val="NoSpacing"/>
      </w:pPr>
    </w:p>
    <w:p w14:paraId="487047B6" w14:textId="77777777" w:rsidR="007230CB" w:rsidRDefault="007230CB" w:rsidP="007230CB">
      <w:pPr>
        <w:pStyle w:val="NoSpacing"/>
        <w:numPr>
          <w:ilvl w:val="0"/>
          <w:numId w:val="10"/>
        </w:numPr>
        <w:jc w:val="both"/>
      </w:pPr>
      <w:r>
        <w:t xml:space="preserve">The supplier must leave all work areas clean and tidy at the end of each workday including removing and disposing of all packing materials, </w:t>
      </w:r>
      <w:proofErr w:type="gramStart"/>
      <w:r>
        <w:t>debris</w:t>
      </w:r>
      <w:proofErr w:type="gramEnd"/>
      <w:r>
        <w:t xml:space="preserve"> and hazards.</w:t>
      </w:r>
    </w:p>
    <w:p w14:paraId="167BDB13" w14:textId="77777777" w:rsidR="007230CB" w:rsidRDefault="007230CB" w:rsidP="007230CB">
      <w:pPr>
        <w:pStyle w:val="NoSpacing"/>
        <w:jc w:val="both"/>
      </w:pPr>
    </w:p>
    <w:p w14:paraId="28902618" w14:textId="77777777" w:rsidR="007230CB" w:rsidRPr="007230CB" w:rsidRDefault="007230CB" w:rsidP="007230CB">
      <w:pPr>
        <w:pStyle w:val="NoSpacing"/>
        <w:numPr>
          <w:ilvl w:val="0"/>
          <w:numId w:val="10"/>
        </w:numPr>
        <w:jc w:val="both"/>
        <w:rPr>
          <w:rFonts w:cstheme="minorHAnsi"/>
          <w:b/>
        </w:rPr>
      </w:pPr>
      <w:r w:rsidRPr="007230CB">
        <w:rPr>
          <w:rFonts w:cstheme="minorHAnsi"/>
          <w:lang w:val="en-PH"/>
        </w:rPr>
        <w:t xml:space="preserve">Supplier must make available </w:t>
      </w:r>
      <w:r>
        <w:t>training material in both Arabic and English, with the supplier taking responsibility to train operators of the leased equipment. The hard copy of the training materials shall be made available to the Field Security Unit of UNHCR Egypt to allow the ability for future in-house training.</w:t>
      </w:r>
    </w:p>
    <w:p w14:paraId="3D12376B" w14:textId="77777777" w:rsidR="007230CB" w:rsidRDefault="007230CB" w:rsidP="00934808">
      <w:pPr>
        <w:pStyle w:val="NoSpacing"/>
        <w:jc w:val="both"/>
        <w:rPr>
          <w:rFonts w:cstheme="minorHAnsi"/>
          <w:b/>
          <w:lang w:val="en-PH"/>
        </w:rPr>
      </w:pPr>
    </w:p>
    <w:p w14:paraId="7EE4CF65" w14:textId="77777777" w:rsidR="00E40C7A" w:rsidRDefault="007230CB" w:rsidP="00934808">
      <w:pPr>
        <w:pStyle w:val="NoSpacing"/>
        <w:jc w:val="both"/>
        <w:rPr>
          <w:rFonts w:cstheme="minorHAnsi"/>
          <w:b/>
          <w:lang w:val="en-PH"/>
        </w:rPr>
      </w:pPr>
      <w:r>
        <w:rPr>
          <w:rFonts w:cstheme="minorHAnsi"/>
          <w:b/>
          <w:lang w:val="en-PH"/>
        </w:rPr>
        <w:t>VI.</w:t>
      </w:r>
      <w:r>
        <w:rPr>
          <w:rFonts w:cstheme="minorHAnsi"/>
          <w:b/>
          <w:lang w:val="en-PH"/>
        </w:rPr>
        <w:tab/>
      </w:r>
      <w:r w:rsidR="00E40C7A">
        <w:rPr>
          <w:rFonts w:cstheme="minorHAnsi"/>
          <w:b/>
          <w:lang w:val="en-PH"/>
        </w:rPr>
        <w:t>Post-procurement</w:t>
      </w:r>
    </w:p>
    <w:p w14:paraId="2AF5597E" w14:textId="77777777" w:rsidR="00E40C7A" w:rsidRDefault="00E40C7A" w:rsidP="00934808">
      <w:pPr>
        <w:pStyle w:val="NoSpacing"/>
        <w:jc w:val="both"/>
        <w:rPr>
          <w:rFonts w:cstheme="minorHAnsi"/>
          <w:b/>
          <w:lang w:val="en-PH"/>
        </w:rPr>
      </w:pPr>
    </w:p>
    <w:p w14:paraId="2176FDBC" w14:textId="77777777" w:rsidR="00E40C7A" w:rsidRDefault="00E40C7A" w:rsidP="00934808">
      <w:pPr>
        <w:pStyle w:val="NoSpacing"/>
        <w:jc w:val="both"/>
        <w:rPr>
          <w:rFonts w:cstheme="minorHAnsi"/>
          <w:lang w:val="en-PH"/>
        </w:rPr>
      </w:pPr>
      <w:r>
        <w:rPr>
          <w:rFonts w:cstheme="minorHAnsi"/>
          <w:lang w:val="en-PH"/>
        </w:rPr>
        <w:t>Parts for repair should available locally. Maintenance after warranty period should accessible.</w:t>
      </w:r>
    </w:p>
    <w:p w14:paraId="6CF0C94B" w14:textId="77777777" w:rsidR="00E40C7A" w:rsidRDefault="00E40C7A" w:rsidP="00934808">
      <w:pPr>
        <w:pStyle w:val="NoSpacing"/>
        <w:jc w:val="both"/>
        <w:rPr>
          <w:rFonts w:cstheme="minorHAnsi"/>
          <w:lang w:val="en-PH"/>
        </w:rPr>
      </w:pPr>
    </w:p>
    <w:p w14:paraId="6C6744B2" w14:textId="77777777" w:rsidR="00E40C7A" w:rsidRDefault="00E40C7A" w:rsidP="00E40C7A">
      <w:pPr>
        <w:pStyle w:val="NoSpacing"/>
        <w:rPr>
          <w:rFonts w:cstheme="minorHAnsi"/>
          <w:b/>
        </w:rPr>
      </w:pPr>
      <w:r>
        <w:rPr>
          <w:rFonts w:cstheme="minorHAnsi"/>
          <w:b/>
        </w:rPr>
        <w:t>VI</w:t>
      </w:r>
      <w:r w:rsidR="007230CB">
        <w:rPr>
          <w:rFonts w:cstheme="minorHAnsi"/>
          <w:b/>
        </w:rPr>
        <w:t>I</w:t>
      </w:r>
      <w:r>
        <w:rPr>
          <w:rFonts w:cstheme="minorHAnsi"/>
          <w:b/>
        </w:rPr>
        <w:t>.</w:t>
      </w:r>
      <w:r>
        <w:rPr>
          <w:rFonts w:cstheme="minorHAnsi"/>
          <w:b/>
        </w:rPr>
        <w:tab/>
        <w:t>Documentation and License</w:t>
      </w:r>
    </w:p>
    <w:p w14:paraId="50C343A5" w14:textId="77777777" w:rsidR="00E40C7A" w:rsidRDefault="00E40C7A" w:rsidP="00E40C7A">
      <w:pPr>
        <w:pStyle w:val="NoSpacing"/>
        <w:rPr>
          <w:rFonts w:cstheme="minorHAnsi"/>
          <w:b/>
        </w:rPr>
      </w:pPr>
    </w:p>
    <w:p w14:paraId="6E06E8D4" w14:textId="39B3C336" w:rsidR="00DB13F6" w:rsidRPr="00705BA8" w:rsidRDefault="00E40C7A" w:rsidP="00934808">
      <w:pPr>
        <w:pStyle w:val="NoSpacing"/>
        <w:jc w:val="both"/>
        <w:rPr>
          <w:rFonts w:cstheme="minorHAnsi"/>
          <w:lang w:val="en-PH"/>
        </w:rPr>
      </w:pPr>
      <w:r>
        <w:rPr>
          <w:rFonts w:cstheme="minorHAnsi"/>
        </w:rPr>
        <w:t>Interested companies shall have at least 5-years’ experience in supplying and maintaining X-ray and other screening systems for government offices, diplomatic embassies, international organizations or large corporations with the appropriate license and authorization to operate legally and engage in the provision of security and electronic services in Egypt. Furthermore, companies shall also present documentation indicating that they are authorized or trained to install and maintain the camera brand(s) they intend to utilize for this project and extend the required warranty.</w:t>
      </w:r>
      <w:r w:rsidR="007230CB">
        <w:rPr>
          <w:rFonts w:cstheme="minorHAnsi"/>
        </w:rPr>
        <w:t xml:space="preserve"> </w:t>
      </w:r>
    </w:p>
    <w:sectPr w:rsidR="00DB13F6" w:rsidRPr="00705BA8" w:rsidSect="008B727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B759" w14:textId="77777777" w:rsidR="003661E4" w:rsidRDefault="003661E4" w:rsidP="00AD4479">
      <w:pPr>
        <w:spacing w:after="0" w:line="240" w:lineRule="auto"/>
      </w:pPr>
      <w:r>
        <w:separator/>
      </w:r>
    </w:p>
  </w:endnote>
  <w:endnote w:type="continuationSeparator" w:id="0">
    <w:p w14:paraId="13A34C8A" w14:textId="77777777" w:rsidR="003661E4" w:rsidRDefault="003661E4" w:rsidP="00AD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207029"/>
      <w:docPartObj>
        <w:docPartGallery w:val="Page Numbers (Bottom of Page)"/>
        <w:docPartUnique/>
      </w:docPartObj>
    </w:sdtPr>
    <w:sdtEndPr>
      <w:rPr>
        <w:color w:val="808080" w:themeColor="background1" w:themeShade="80"/>
        <w:spacing w:val="60"/>
      </w:rPr>
    </w:sdtEndPr>
    <w:sdtContent>
      <w:p w14:paraId="67AECCD6" w14:textId="77777777" w:rsidR="00A5296C" w:rsidRDefault="00A5296C" w:rsidP="00A5296C">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D2DD3" w:rsidRPr="00ED2DD3">
          <w:rPr>
            <w:b/>
            <w:bCs/>
            <w:noProof/>
          </w:rPr>
          <w:t>1</w:t>
        </w:r>
        <w:r>
          <w:rPr>
            <w:b/>
            <w:bCs/>
            <w:noProof/>
          </w:rPr>
          <w:fldChar w:fldCharType="end"/>
        </w:r>
        <w:r>
          <w:rPr>
            <w:b/>
            <w:bCs/>
          </w:rPr>
          <w:t xml:space="preserve"> | </w:t>
        </w:r>
        <w:r>
          <w:rPr>
            <w:color w:val="808080" w:themeColor="background1" w:themeShade="80"/>
            <w:spacing w:val="60"/>
          </w:rPr>
          <w:t>Page</w:t>
        </w:r>
      </w:p>
    </w:sdtContent>
  </w:sdt>
  <w:p w14:paraId="37F515F8" w14:textId="1F33E410" w:rsidR="00A5296C" w:rsidRPr="00A908B6" w:rsidRDefault="00A5296C" w:rsidP="00A908B6">
    <w:pPr>
      <w:pStyle w:val="Head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0EDA" w14:textId="77777777" w:rsidR="003661E4" w:rsidRDefault="003661E4" w:rsidP="00AD4479">
      <w:pPr>
        <w:spacing w:after="0" w:line="240" w:lineRule="auto"/>
      </w:pPr>
      <w:r>
        <w:separator/>
      </w:r>
    </w:p>
  </w:footnote>
  <w:footnote w:type="continuationSeparator" w:id="0">
    <w:p w14:paraId="0F05B1ED" w14:textId="77777777" w:rsidR="003661E4" w:rsidRDefault="003661E4" w:rsidP="00AD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A79D" w14:textId="212F96AA" w:rsidR="00A908B6" w:rsidRPr="00A908B6" w:rsidRDefault="00A908B6" w:rsidP="00A908B6">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4B2"/>
    <w:multiLevelType w:val="hybridMultilevel"/>
    <w:tmpl w:val="98BAC37A"/>
    <w:lvl w:ilvl="0" w:tplc="E8801BBC">
      <w:start w:val="2"/>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FE325CA"/>
    <w:multiLevelType w:val="hybridMultilevel"/>
    <w:tmpl w:val="F6C4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9435F"/>
    <w:multiLevelType w:val="multilevel"/>
    <w:tmpl w:val="8772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2634A"/>
    <w:multiLevelType w:val="hybridMultilevel"/>
    <w:tmpl w:val="5EFC4EB2"/>
    <w:lvl w:ilvl="0" w:tplc="E8801BBC">
      <w:start w:val="2"/>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B8029FE"/>
    <w:multiLevelType w:val="hybridMultilevel"/>
    <w:tmpl w:val="859EA298"/>
    <w:lvl w:ilvl="0" w:tplc="E8801BBC">
      <w:start w:val="2"/>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E1C52AF"/>
    <w:multiLevelType w:val="multilevel"/>
    <w:tmpl w:val="AA42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9355D"/>
    <w:multiLevelType w:val="hybridMultilevel"/>
    <w:tmpl w:val="963E4390"/>
    <w:lvl w:ilvl="0" w:tplc="40847618">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99C023B"/>
    <w:multiLevelType w:val="hybridMultilevel"/>
    <w:tmpl w:val="D51AD3E0"/>
    <w:lvl w:ilvl="0" w:tplc="C046F7A2">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FD763AC"/>
    <w:multiLevelType w:val="hybridMultilevel"/>
    <w:tmpl w:val="1890A986"/>
    <w:lvl w:ilvl="0" w:tplc="E8801BBC">
      <w:start w:val="2"/>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66FA5097"/>
    <w:multiLevelType w:val="multilevel"/>
    <w:tmpl w:val="CB7A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3D5B33"/>
    <w:multiLevelType w:val="hybridMultilevel"/>
    <w:tmpl w:val="47DC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10"/>
  </w:num>
  <w:num w:numId="6">
    <w:abstractNumId w:val="1"/>
  </w:num>
  <w:num w:numId="7">
    <w:abstractNumId w:val="2"/>
  </w:num>
  <w:num w:numId="8">
    <w:abstractNumId w:val="9"/>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C4"/>
    <w:rsid w:val="00012214"/>
    <w:rsid w:val="00021243"/>
    <w:rsid w:val="00022390"/>
    <w:rsid w:val="000275D0"/>
    <w:rsid w:val="00037126"/>
    <w:rsid w:val="00046E61"/>
    <w:rsid w:val="00050881"/>
    <w:rsid w:val="00054422"/>
    <w:rsid w:val="00065658"/>
    <w:rsid w:val="00070E5E"/>
    <w:rsid w:val="00072DFB"/>
    <w:rsid w:val="000733C4"/>
    <w:rsid w:val="000C5735"/>
    <w:rsid w:val="000D5DF6"/>
    <w:rsid w:val="00104ABF"/>
    <w:rsid w:val="00112F45"/>
    <w:rsid w:val="00153FD0"/>
    <w:rsid w:val="001605CE"/>
    <w:rsid w:val="00165448"/>
    <w:rsid w:val="001654AF"/>
    <w:rsid w:val="00194362"/>
    <w:rsid w:val="001A6929"/>
    <w:rsid w:val="001B79DD"/>
    <w:rsid w:val="001F506B"/>
    <w:rsid w:val="00212E6F"/>
    <w:rsid w:val="00226547"/>
    <w:rsid w:val="002434EC"/>
    <w:rsid w:val="002A7F7F"/>
    <w:rsid w:val="002C6692"/>
    <w:rsid w:val="002E2994"/>
    <w:rsid w:val="002F183C"/>
    <w:rsid w:val="002F6A57"/>
    <w:rsid w:val="00302C92"/>
    <w:rsid w:val="00305F50"/>
    <w:rsid w:val="00306E65"/>
    <w:rsid w:val="00321A4A"/>
    <w:rsid w:val="00326845"/>
    <w:rsid w:val="003325B8"/>
    <w:rsid w:val="00334BBC"/>
    <w:rsid w:val="0035371A"/>
    <w:rsid w:val="003550C0"/>
    <w:rsid w:val="00363832"/>
    <w:rsid w:val="003661E4"/>
    <w:rsid w:val="003B4056"/>
    <w:rsid w:val="003B65B4"/>
    <w:rsid w:val="003C1963"/>
    <w:rsid w:val="003C1CDB"/>
    <w:rsid w:val="003E5DDA"/>
    <w:rsid w:val="004008E3"/>
    <w:rsid w:val="004D7474"/>
    <w:rsid w:val="004E4434"/>
    <w:rsid w:val="004F3ABB"/>
    <w:rsid w:val="004F693B"/>
    <w:rsid w:val="00504B36"/>
    <w:rsid w:val="005116CB"/>
    <w:rsid w:val="0053496B"/>
    <w:rsid w:val="005A63CA"/>
    <w:rsid w:val="005B5C33"/>
    <w:rsid w:val="005E26A5"/>
    <w:rsid w:val="0067025F"/>
    <w:rsid w:val="00673820"/>
    <w:rsid w:val="006901ED"/>
    <w:rsid w:val="006A5CA6"/>
    <w:rsid w:val="006A6A40"/>
    <w:rsid w:val="006D032A"/>
    <w:rsid w:val="006F7076"/>
    <w:rsid w:val="00705BA8"/>
    <w:rsid w:val="00713EBF"/>
    <w:rsid w:val="007230CB"/>
    <w:rsid w:val="00737448"/>
    <w:rsid w:val="0074244F"/>
    <w:rsid w:val="00744036"/>
    <w:rsid w:val="007602A3"/>
    <w:rsid w:val="00764E5B"/>
    <w:rsid w:val="00777EC0"/>
    <w:rsid w:val="007805A0"/>
    <w:rsid w:val="0079515A"/>
    <w:rsid w:val="007A1D64"/>
    <w:rsid w:val="00801585"/>
    <w:rsid w:val="008022AD"/>
    <w:rsid w:val="0082047F"/>
    <w:rsid w:val="00831E51"/>
    <w:rsid w:val="0084432E"/>
    <w:rsid w:val="00851C29"/>
    <w:rsid w:val="008548C4"/>
    <w:rsid w:val="00854CFC"/>
    <w:rsid w:val="008A7819"/>
    <w:rsid w:val="008B727C"/>
    <w:rsid w:val="008F01C9"/>
    <w:rsid w:val="008F2237"/>
    <w:rsid w:val="0090288B"/>
    <w:rsid w:val="009170EC"/>
    <w:rsid w:val="00931A3E"/>
    <w:rsid w:val="00934808"/>
    <w:rsid w:val="00983191"/>
    <w:rsid w:val="009925C5"/>
    <w:rsid w:val="00993AC5"/>
    <w:rsid w:val="00994DC3"/>
    <w:rsid w:val="009A669A"/>
    <w:rsid w:val="009D60ED"/>
    <w:rsid w:val="00A04226"/>
    <w:rsid w:val="00A055CE"/>
    <w:rsid w:val="00A06160"/>
    <w:rsid w:val="00A15C7D"/>
    <w:rsid w:val="00A16768"/>
    <w:rsid w:val="00A26343"/>
    <w:rsid w:val="00A5296C"/>
    <w:rsid w:val="00A5654F"/>
    <w:rsid w:val="00A70EEE"/>
    <w:rsid w:val="00A82333"/>
    <w:rsid w:val="00A8413D"/>
    <w:rsid w:val="00A908B6"/>
    <w:rsid w:val="00AD4479"/>
    <w:rsid w:val="00AD449B"/>
    <w:rsid w:val="00B00271"/>
    <w:rsid w:val="00B15431"/>
    <w:rsid w:val="00B52046"/>
    <w:rsid w:val="00B70F83"/>
    <w:rsid w:val="00BA4530"/>
    <w:rsid w:val="00BE3196"/>
    <w:rsid w:val="00BF2EAE"/>
    <w:rsid w:val="00BF50ED"/>
    <w:rsid w:val="00C064F5"/>
    <w:rsid w:val="00C27DE8"/>
    <w:rsid w:val="00C300EC"/>
    <w:rsid w:val="00C32F1B"/>
    <w:rsid w:val="00C373D4"/>
    <w:rsid w:val="00C45163"/>
    <w:rsid w:val="00C54823"/>
    <w:rsid w:val="00C57B79"/>
    <w:rsid w:val="00C668EF"/>
    <w:rsid w:val="00C80C1D"/>
    <w:rsid w:val="00C84CC9"/>
    <w:rsid w:val="00CD5788"/>
    <w:rsid w:val="00D00A6D"/>
    <w:rsid w:val="00D36BB9"/>
    <w:rsid w:val="00D45730"/>
    <w:rsid w:val="00D50F40"/>
    <w:rsid w:val="00D513C2"/>
    <w:rsid w:val="00D515B4"/>
    <w:rsid w:val="00D524CD"/>
    <w:rsid w:val="00D60DC1"/>
    <w:rsid w:val="00D70EB3"/>
    <w:rsid w:val="00D86CB3"/>
    <w:rsid w:val="00D952B3"/>
    <w:rsid w:val="00DB13F6"/>
    <w:rsid w:val="00DB2DFC"/>
    <w:rsid w:val="00E025E5"/>
    <w:rsid w:val="00E40C7A"/>
    <w:rsid w:val="00E551F1"/>
    <w:rsid w:val="00E628E3"/>
    <w:rsid w:val="00EA0F9C"/>
    <w:rsid w:val="00EB7122"/>
    <w:rsid w:val="00ED2DD3"/>
    <w:rsid w:val="00F03837"/>
    <w:rsid w:val="00F41070"/>
    <w:rsid w:val="00F62B45"/>
    <w:rsid w:val="00F701DB"/>
    <w:rsid w:val="00F71B62"/>
    <w:rsid w:val="00F7743F"/>
    <w:rsid w:val="00F8133A"/>
    <w:rsid w:val="00FA1D2F"/>
    <w:rsid w:val="00FE0BBB"/>
    <w:rsid w:val="00FF5AE5"/>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F931"/>
  <w15:docId w15:val="{AD790BE6-391A-4678-B8C8-78C237A3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3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3C4"/>
    <w:pPr>
      <w:spacing w:after="0" w:line="240" w:lineRule="auto"/>
    </w:pPr>
    <w:rPr>
      <w:lang w:val="en-US"/>
    </w:rPr>
  </w:style>
  <w:style w:type="paragraph" w:styleId="Header">
    <w:name w:val="header"/>
    <w:basedOn w:val="Normal"/>
    <w:link w:val="HeaderChar"/>
    <w:uiPriority w:val="99"/>
    <w:unhideWhenUsed/>
    <w:rsid w:val="00AD4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79"/>
    <w:rPr>
      <w:lang w:val="en-US"/>
    </w:rPr>
  </w:style>
  <w:style w:type="paragraph" w:styleId="Footer">
    <w:name w:val="footer"/>
    <w:basedOn w:val="Normal"/>
    <w:link w:val="FooterChar"/>
    <w:uiPriority w:val="99"/>
    <w:unhideWhenUsed/>
    <w:rsid w:val="00AD4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479"/>
    <w:rPr>
      <w:lang w:val="en-US"/>
    </w:rPr>
  </w:style>
  <w:style w:type="paragraph" w:styleId="BalloonText">
    <w:name w:val="Balloon Text"/>
    <w:basedOn w:val="Normal"/>
    <w:link w:val="BalloonTextChar"/>
    <w:uiPriority w:val="99"/>
    <w:semiHidden/>
    <w:unhideWhenUsed/>
    <w:rsid w:val="0099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C5"/>
    <w:rPr>
      <w:rFonts w:ascii="Tahoma" w:hAnsi="Tahoma" w:cs="Tahoma"/>
      <w:sz w:val="16"/>
      <w:szCs w:val="16"/>
      <w:lang w:val="en-US"/>
    </w:rPr>
  </w:style>
  <w:style w:type="paragraph" w:styleId="ListParagraph">
    <w:name w:val="List Paragraph"/>
    <w:basedOn w:val="Normal"/>
    <w:uiPriority w:val="34"/>
    <w:qFormat/>
    <w:rsid w:val="002F183C"/>
    <w:pPr>
      <w:ind w:left="720"/>
      <w:contextualSpacing/>
    </w:pPr>
  </w:style>
  <w:style w:type="character" w:styleId="Hyperlink">
    <w:name w:val="Hyperlink"/>
    <w:basedOn w:val="DefaultParagraphFont"/>
    <w:uiPriority w:val="99"/>
    <w:unhideWhenUsed/>
    <w:rsid w:val="002F183C"/>
    <w:rPr>
      <w:color w:val="0000FF" w:themeColor="hyperlink"/>
      <w:u w:val="single"/>
    </w:rPr>
  </w:style>
  <w:style w:type="table" w:styleId="TableGrid">
    <w:name w:val="Table Grid"/>
    <w:basedOn w:val="TableNormal"/>
    <w:uiPriority w:val="59"/>
    <w:rsid w:val="00D5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5306">
      <w:bodyDiv w:val="1"/>
      <w:marLeft w:val="0"/>
      <w:marRight w:val="0"/>
      <w:marTop w:val="0"/>
      <w:marBottom w:val="0"/>
      <w:divBdr>
        <w:top w:val="none" w:sz="0" w:space="0" w:color="auto"/>
        <w:left w:val="none" w:sz="0" w:space="0" w:color="auto"/>
        <w:bottom w:val="none" w:sz="0" w:space="0" w:color="auto"/>
        <w:right w:val="none" w:sz="0" w:space="0" w:color="auto"/>
      </w:divBdr>
    </w:div>
    <w:div w:id="1315526923">
      <w:bodyDiv w:val="1"/>
      <w:marLeft w:val="0"/>
      <w:marRight w:val="0"/>
      <w:marTop w:val="0"/>
      <w:marBottom w:val="0"/>
      <w:divBdr>
        <w:top w:val="none" w:sz="0" w:space="0" w:color="auto"/>
        <w:left w:val="none" w:sz="0" w:space="0" w:color="auto"/>
        <w:bottom w:val="none" w:sz="0" w:space="0" w:color="auto"/>
        <w:right w:val="none" w:sz="0" w:space="0" w:color="auto"/>
      </w:divBdr>
    </w:div>
    <w:div w:id="1586065037">
      <w:bodyDiv w:val="1"/>
      <w:marLeft w:val="0"/>
      <w:marRight w:val="0"/>
      <w:marTop w:val="0"/>
      <w:marBottom w:val="0"/>
      <w:divBdr>
        <w:top w:val="none" w:sz="0" w:space="0" w:color="auto"/>
        <w:left w:val="none" w:sz="0" w:space="0" w:color="auto"/>
        <w:bottom w:val="none" w:sz="0" w:space="0" w:color="auto"/>
        <w:right w:val="none" w:sz="0" w:space="0" w:color="auto"/>
      </w:divBdr>
    </w:div>
    <w:div w:id="15920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A0396BA5FDA4C8993907EA99631B3" ma:contentTypeVersion="13" ma:contentTypeDescription="Create a new document." ma:contentTypeScope="" ma:versionID="08c16ba2e52f66103c491598e7391cca">
  <xsd:schema xmlns:xsd="http://www.w3.org/2001/XMLSchema" xmlns:xs="http://www.w3.org/2001/XMLSchema" xmlns:p="http://schemas.microsoft.com/office/2006/metadata/properties" xmlns:ns3="bb544a2a-8181-4fdc-aa99-56b28938de04" xmlns:ns4="0d1eb96d-e65b-45f3-85ce-1c1357d21e01" targetNamespace="http://schemas.microsoft.com/office/2006/metadata/properties" ma:root="true" ma:fieldsID="68adea27162ca2abb9efb4dc573271ab" ns3:_="" ns4:_="">
    <xsd:import namespace="bb544a2a-8181-4fdc-aa99-56b28938de04"/>
    <xsd:import namespace="0d1eb96d-e65b-45f3-85ce-1c1357d21e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44a2a-8181-4fdc-aa99-56b28938d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eb96d-e65b-45f3-85ce-1c1357d21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50B13-74DD-45A4-8180-FE4972531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44a2a-8181-4fdc-aa99-56b28938de04"/>
    <ds:schemaRef ds:uri="0d1eb96d-e65b-45f3-85ce-1c1357d21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F8145-9C12-498E-AAD5-EFD055D9A836}">
  <ds:schemaRefs>
    <ds:schemaRef ds:uri="http://schemas.microsoft.com/sharepoint/v3/contenttype/forms"/>
  </ds:schemaRefs>
</ds:datastoreItem>
</file>

<file path=customXml/itemProps3.xml><?xml version="1.0" encoding="utf-8"?>
<ds:datastoreItem xmlns:ds="http://schemas.openxmlformats.org/officeDocument/2006/customXml" ds:itemID="{86EB2E1C-C46E-4AC7-A27F-40C48B1C77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Undisclosed_classified</dc:creator>
  <cp:lastModifiedBy>Ahmed Aboeldahab</cp:lastModifiedBy>
  <cp:revision>15</cp:revision>
  <dcterms:created xsi:type="dcterms:W3CDTF">2020-10-18T17:44:00Z</dcterms:created>
  <dcterms:modified xsi:type="dcterms:W3CDTF">2022-12-01T13:19:00Z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0x01010055CA0396BA5FDA4C8993907EA99631B3</vt:lpwstr>
  </property>
</Properties>
</file>