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3A0F18C" w14:textId="77777777" w:rsidR="007F17A3" w:rsidRDefault="007F17A3" w:rsidP="007F17A3">
      <w:pPr>
        <w:pStyle w:val="Heading2"/>
      </w:pPr>
      <w:r>
        <w:t>Brick masonry</w:t>
      </w:r>
    </w:p>
    <w:p w14:paraId="005F6D8B" w14:textId="72171659" w:rsidR="007F17A3" w:rsidRDefault="007F17A3" w:rsidP="007F17A3">
      <w:r>
        <w:t>Bricks should be made from clay free of stone or other organic or inorganic impurities. Bricks shall be of a standard, consistent size that conforms with local standards, and shall have plane rectangular faces and right-angled edges. Bricks should be of sufficient strength, with a minimum crushing strength of 1</w:t>
      </w:r>
      <w:r w:rsidR="0038783D">
        <w:t>2</w:t>
      </w:r>
      <w:r>
        <w:t>5kg/</w:t>
      </w:r>
      <w:r w:rsidR="0038783D">
        <w:t>c</w:t>
      </w:r>
      <w:r>
        <w:t>m2, or to not break when dropped from a height of 1m. Bricks should be fired sufficiently such that, when immersed in water, a brick shall not absorb water more that 20% of its dry weight.</w:t>
      </w:r>
    </w:p>
    <w:p w14:paraId="66C59DA3" w14:textId="77777777" w:rsidR="00363531" w:rsidRDefault="00363531" w:rsidP="00363531">
      <w:r>
        <w:t xml:space="preserve">Bricks shall be soaked in water for minimum 15 minutes prior to laying in cement mortar. </w:t>
      </w:r>
    </w:p>
    <w:p w14:paraId="6185150D" w14:textId="77777777" w:rsidR="00363531" w:rsidRDefault="007F17A3" w:rsidP="00363531">
      <w:r>
        <w:t xml:space="preserve">Bricks shall be laid in horizontal courses, with brickwork laid in a single day not exceeding 1m height to avoid excessive pressure on newly laid lower courses. </w:t>
      </w:r>
    </w:p>
    <w:p w14:paraId="67FA0D57" w14:textId="553B25E0" w:rsidR="007F17A3" w:rsidRDefault="007F17A3" w:rsidP="00363531">
      <w:r>
        <w:t xml:space="preserve">Cement mortar joints should be 6-10mm. A </w:t>
      </w:r>
      <w:proofErr w:type="gramStart"/>
      <w:r>
        <w:t>cement :</w:t>
      </w:r>
      <w:proofErr w:type="gramEnd"/>
      <w:r>
        <w:t xml:space="preserve"> sand mix of 1:6 should be used for masonry mortar unless otherwise noted. Brickwork shall be covered with plastic sheeting or textile and kept wet (cured) for </w:t>
      </w:r>
      <w:r w:rsidR="0036334C">
        <w:t xml:space="preserve">minimum </w:t>
      </w:r>
      <w:r>
        <w:t>10</w:t>
      </w:r>
      <w:r w:rsidR="0036334C">
        <w:t xml:space="preserve"> </w:t>
      </w:r>
      <w:r>
        <w:t>days after laying.</w:t>
      </w:r>
    </w:p>
    <w:p w14:paraId="040521D6" w14:textId="47982742"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61605"/>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24C52"/>
    <w:rsid w:val="009C67F0"/>
    <w:rsid w:val="00A11CB8"/>
    <w:rsid w:val="00A66749"/>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7AE5DB-5F0E-41EF-9ECE-CB3E227A4823}"/>
</file>

<file path=customXml/itemProps2.xml><?xml version="1.0" encoding="utf-8"?>
<ds:datastoreItem xmlns:ds="http://schemas.openxmlformats.org/officeDocument/2006/customXml" ds:itemID="{5C9D9072-B318-4AE3-9877-E0D170FC94E4}"/>
</file>

<file path=customXml/itemProps3.xml><?xml version="1.0" encoding="utf-8"?>
<ds:datastoreItem xmlns:ds="http://schemas.openxmlformats.org/officeDocument/2006/customXml" ds:itemID="{AA969FDD-9F4A-4B81-B643-1FB0FA6BE56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2023-09-23T12:49:00Z</dcterms:created>
  <dcterms:modified xsi:type="dcterms:W3CDTF">2023-09-27T20:10:00Z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